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20010791 vom 6. Oktober 1982</w:t>
      </w:r>
    </w:p>
    <w:p>
      <w:r>
        <w:t>Bundesverwaltung, 1982-10-06, DE</w:t>
      </w:r>
    </w:p>
    <w:p>
      <w:r>
        <w:rPr>
          <w:b/>
        </w:rPr>
        <w:t xml:space="preserve">Quelle: </w:t>
      </w:r>
      <w:r>
        <w:t>https://mcp.opencaselaw.ch/entscheid/ch_vb__td_class__metadataCell__20010791__td_</w:t>
      </w:r>
    </w:p>
    <w:p>
      <w:r>
        <w:t>FR: CH_VB 20010791 du 6 octobre 1982</w:t>
      </w:r>
    </w:p>
    <w:p>
      <w:r>
        <w:t>IT: CH_VB 20010791 del 6 ottobre 1982</w:t>
      </w:r>
    </w:p>
    <w:p>
      <w:pPr>
        <w:pStyle w:val="Heading2"/>
      </w:pPr>
      <w:r>
        <w:t>Erwägungen</w:t>
      </w:r>
    </w:p>
    <w:p>
      <w:r>
        <w:rPr>
          <w:b/>
        </w:rPr>
        <w:t>E. 6</w:t>
      </w:r>
    </w:p>
    <w:p>
      <w:r>
        <w:t>octobre 1982 werden.» Die Kantone haben im Jahre 1960 Richtlinien zur Wahrung der allgemeinen Landesinteressen bei der Kon- zessionserteilung für die Erdölschürfung und -ausbeutung genehmigt. Darin findet sich eine Bestimmung, die besagt: «Erdölschürf- und -ausbeutungskonzessionen sollen nur an Gesellschaften erteilt werden, deren Kapital und Stimm- recht mehrheitlich in schweizerischem Besitz befindlich ist.» Die Konzessionsgesuche, die später von den Kantonen zu behandeln waren, wurden jeweils dem Bund zur Prüfung der Nationalitätsfrage unterbreitet. In einem Konkordat der Nordostschweizerkantone aus dem Jahre 1955, dem damals allerdings nur die Kantone Zürich, St. Gallen, Aar- gau und Thurgau beigetreten waren, wurde eine analoge Bestimmung aufgenommen, wonach sich mindestens drei Viertel des Aktienkapitals der Ausbeutungsgesellschaft dauernd in schweizerischem Eigentum befinden müssen. Schliesslich hat sich die Swisspetrol ihrerseits in den Part- nerverträgen mit den Fördergesellschaften (LEAG, SEAG, BEAG usw.) vorbehalten, immer eine schweizerische Mehr- heit von 51 Prozent zu beanspruchen. Aber auch die Kan- tone sind in dieser Weise tätig geworden. Der Kanton Luzern beispielsweise hat in der Konzession, die er im Jahre 1960 der LEAG - das ist die Gesellschaft, die bei Fin- sterwald tätig ist - erteilte, im Artikel 24 festgelegt: «Minde- stens 51 Prozent des Aktienkapitals der LEAG-Förderge- sellschaft müssen im Eigentum von Schweizer Bürgern, schweizerischen Gesellschaften ... stehen.» Andere Kan- tone könnten zitiert werden (z. B. das Bergwerkgesetz des Kantons Bern), die sich auch an diesen Rahmen gehalten haben, so dass festgestellt werden kann, die Kantone hät- ten sowohl in privatrechtlicher wie öffentlich-rechtlicher Sicht das getan, was zur Sicherung einer schweizerischen Mehrheit in diesen Gesellschaften notwendig war. Zur Frage von Nationalrat Magnin. Wir gehen hier - wie auch sonst - davon aus, dass es nicht Aufgabe des Bundes sein kann, die Trägerschaft ganz oder zu einem wesentli- chen Teil für derartige Aktivitäten zu übernehmen, wesentli- cher oder gar Hauptbeteiligter zu werden; das gehört in den Bereich der privaten Tätigkeiten, der Wirtschaft, allen- falls auch in den Bereich der kommunalen und kantonalen Körperschaften; aber der Bund soll sich darauf beschrän- ken, zu fördern, insbesondere in finanzieller Hinsicht Erleichterungen in einem beschränkten Rahmen zu schaf- fen, wie man es mit diesem Darlehen tun will, allenfalls durch eine relativ bescheidene Beteiligung, wenn das Darle- hen einmal in Risikokapital umgewandelt werden sollte. Frau Nationalrat Morf, Sie haben in der Kommission gesagt: Wenn Herr Schlumpf die Zusicherung gibt, vor dem Plenum festzuhalten, dass Forderungen gestellt werden können und dass dabei einige Daten über die Géothermie heraus- schauen werden, dann ziehe ich meinen Antrag zurück. Sie haben in der Kommission dann den Antrag zurückgezogen. Ich gebe diese Erklärung ab, und damit stehen wir in dieser Frage wohl 1 zu 1. Wir haben das im Vertrag mit der Swisspetrol bereits vorge- sehen, da steht in Artikel 7: «Swisspetrol sorgt dafür, dass dem Bund betreffend Forschungsergebnisse, unter Vorbe- halt der Konzessionsbestimmungen, die gleichen Rechte und Pflichten wie den Konzessionskantonen zustehen. Der Bund ist unter Einhaltung der Geheimhaltungspflicht befugt, Forschungsergebnisse, von denen er aufgrund der Darlehensgewährung Kenntnis erhält, für eigene wissen- schaftliche Zwecke zu verwenden.» Das wäre im Rahmen der ordentlichen Forschungstätigkeit der Swisspetrol bzw. ihrer Gesellschaften. Ferner steht in Artikel 8: «Der Bund, vertreten durch das Bundesamt für Energiewirtschaft, kann, sofern das Ziel der Arbeiten nicht in Frage gestellt wird, darüber hinaus auch verlangen, dass bei Bohrungen und anderen Arbeiten der Erdöl-, Erdgasprospektion zusätzliche Untersuchungen durchgeführt werden, die der Erforschung der Erdwärme, der Suche nach geologisch günstigen Strukturen für Unter- tagspeicher dienen können.» Immerhin steht in Absatz 2: «Die Swisspetrol sorgt dafür, dass solche Untersuchungen gegen Bezahlung der Mehr- kosten vorgenommen und ihre Ergebnisse abgeliefert wer- den.» - Für derartige zusätzliche Untersuchungen muss also der Bund die Kosten übernehmen, ausserhalb der Dar- lehensgewährung. Der Bundesrat erachtet eine solche Darlehensgewährung und den Vertrag, wie er skizziert wurde, als zweckmässig. Die Chancenbeurteilung - natürlich mit einer limitierten Ausbeutungsmenge - durch verschiedene Fachleute ist positiv. Diese Regelung ist auch angemessen. So partizi- piert der Bund - ganz abgesehen von dem, was bisher schon rein privat finanziert wurde - mit 10 Millionen Franken an einem künftigen Programm von 150 Millionen. Es ist aber auch unter dem Gesichtspunkt des Gesamtaufwandes des Bundes für die Energieforschung angemessen. Wir investie- ren heute (leider nur) etwa 80 Millionen Franken jährlich in die Energieforschung. Wenn wir nun für eine solche ange- wandte Energieforschung jährlich 2 Millionen Franken (wäh- rend fünf Jahren je 2 Millionen, insgesamt also 10 Millionen) zur Verfügung stellen, ist das in diesem Gesamtpaket von jährlich 80 Millionen durchaus angemessen. Wir sind auch überzeugt davon, dass es eine günstige Regelung ist, dass die Inlandinteressen so gestärkt werden können; eine günstige Regelung für die Swisspetrol als Hauptpartner, Vertreterin der Inlandinteressen, eine gün- stige Regelung auch für den Bund. Ich bin Ihnen für Zustimmung zu dieser Vorlage deshalb dankbar.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94 Stimmen Dagegen 5 Stimmen An den Ständerat - Au Conseil des Etats #ST# 82.014 Zürichberg-Linie (S-Bahn-Zürich) Ligne du Zurichberg (réseau express régional) Botschaft und Beschlussentwürfe vom 24. Februar 1982 (BBI II, 79} Message et projets d'arrêté du 24 février 1982 (FF II, 83) Beschluss des Ständerates vorn 10. Juni 1982 Décision du Conseil des Etats du 10 juin 1982 Antrag der Kommission Eintreten Proposition de la commission Entrer en matière Räz, Berichterstatter: Die Botschaft über den Bau der Zürichberg-Linie enthält zwei Bundesbeschlüsse: a. den Bundesbeschluss über den Bau einer neuen Bun- desbahnlinie von Zürich ins Glattal (Zürichberg-ünie); er</w:t>
      </w:r>
    </w:p>
    <w:p>
      <w:r>
        <w:t>Schweizerisches Bundesarchiv, Digitale Amtsdruckschriften Archives fédérales suisses, Publications officielles numérisées Archivio federale svizzero, Pubblicazioni ufficiali digitali Swisspetrol AG. Bundeshilfe Swisspetrol SA. Aide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13 Séance Seduta Geschäftsnummer 82.046 Numéro d'objet Numero dell'oggetto Datum 06.10.1982 - 15:00 Date Data Seite 1359-1362 Page Pagina Ref. No 20 010 791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