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20010752 vom 27. September 1982</w:t>
      </w:r>
    </w:p>
    <w:p>
      <w:r>
        <w:t>Bundesverwaltung, 1982-09-27, DE</w:t>
      </w:r>
    </w:p>
    <w:p>
      <w:r>
        <w:rPr>
          <w:b/>
        </w:rPr>
        <w:t xml:space="preserve">Quelle: </w:t>
      </w:r>
      <w:r>
        <w:t>https://mcp.opencaselaw.ch/entscheid/ch_vb__td_class__metadataCell__20010752__td_</w:t>
      </w:r>
    </w:p>
    <w:p>
      <w:r>
        <w:t>FR: CH_VB 20010752 du 27 septembre 1982</w:t>
      </w:r>
    </w:p>
    <w:p>
      <w:r>
        <w:t>IT: CH_VB 20010752 del 27 settembre 1982</w:t>
      </w:r>
    </w:p>
    <w:p>
      <w:pPr>
        <w:pStyle w:val="Heading2"/>
      </w:pPr>
      <w:r>
        <w:t>Erwägungen</w:t>
      </w:r>
    </w:p>
    <w:p>
      <w:r>
        <w:rPr>
          <w:b/>
        </w:rPr>
        <w:t>E. 27</w:t>
      </w:r>
    </w:p>
    <w:p>
      <w:r>
        <w:t>septembre 1982 autoriser l'administration à passer commande pour ces machines (elle qui en achète 1700 à 1800 par an d'habi- tude)? Bundeskanzler Buser: Herr Nationalrat Baechtold beschwerte sich darüber, dass auf den in der Schweiz her- gestellten Schreibmaschinen das sogenannte Trema, der Doppelpunkt auf dem i oder dem e, verschwunden sei, was für die französischen Texte eine Diskriminierung bedeute. Der Bundesrat verkennt nebst den technischen die grund- sätzlichen Aspekte dieser Kritik nicht. Seine Interventions- möglichkeiten wären aber bescheiden gewesen, und zwar aus zwei Gründen: Einerseits, weil er über keine rechtliche Grundlage verfügt, um den Herstellern von Schreibmaschi- nen Weisungen zu erteilen, andererseits, weil der Bund sel- ber ein sehr bescheidener Abnehmer der kleinen Schreib- maschinen ist, die hier zur Diskussion stehen. Er war also der Ansicht, dass es eher Sache der kantonalen Verwaltun- gen der Westschweiz gewesen wäre, hier zu intervenieren. Nun ist aber offensichtlich in der Zwischenzeit bereits eben durch diese Nachfrage aus der Westschweiz und durch die öffentliche Diskussion eine Lösung des Problems erfolgt. Ich habe nach der Redaktion der schriftlichen Beantwor- tung Ihrer Frage ein Telex der Firma Hermes erhalten, das bestätigt, dass ab Dezember 1982 die Modelle 3000 A und B mit der Westschweizer Tastatur wieder am Lager sein werden. «Wir mussten», schreibt die Firma Hermes, «diesen Entschluss fassen, da unsere Westschweizer Kunden auf das Trema, das bei der Normtastatur fehlt, nicht verzichten können.» Die Angelegenheit hat sich damit - wie Sie sehen - bereits in Minne erledigt. M. Baechtold: Je suis très heureux de votre réponse, Mon- sieur le chancelier. J'ai une seule question à vous poser: la machine à écrire qui a tapé le libellé de ma question n'est- elle pas justement une machine sans tréma? Il m'a semblé que, sur les mots à tréma que j'avais notés dans ma ques- tion, le tréma a été rajouté après coup. Bundeskanzler Buser: Die Antwort ist auf einer Maschine mit deutschsprachiger Tastatur geschrieben worden, und zwar auf einer alten, die vor dem Jahre 1976 fabriziert wurde, also das Trema noch besitzt. #ST# 82.050 Außenwirtschaftspolitik. 19. Bericht Politique économique extérieure. 19e rapport Bericht, Botschaft und Beschlussentwürfe vom 11. August 1982 (BEI II, 977) Rapport, message et projets d'arrêté du 11 août 1982 (FF II, 1005) Antrag der Kommission Eintreten Proposition de la commission Entrer en matière Herr Rlsi-Schwyz unterbreitet namens der Wirtschaftskom- mission den folgenden schriftlichen Bericht: Die Wirtschaftskommission befasste sich am H.Septem- ber 1982 mit dem 19. Bericht zur Aussenwirtschaftspolitik, der einen umfassenden Überblick über die Lage der Welt- wirtschaft und der schweizerischen Aussenwirtschaft, basierend auf den Entwicklungen des ersten Halbjahres 1982, vermittelt und Zustimmung zu zwei Bundesbeschlüs- sen betreffend aussenwirtschaftliche Massnahmen und eine Abänderung des Übereinkommens von Stockholm über EFTA-Sonderbestimmungen für Portugal beantragt. Zur Weltwirtschaftslage: Die gegenwärtige Weltwirtschafts- lage ist gekennzeichnet durch eine Verlangsamung des Wirtschaftswachstums, Arbeitslosigkeit (29 Millionen im OECD-Raum), hohe Inflationsraten und zunehmenden Pro- tektionismus. Die Konjunktur bleibt in den westlichen Indu- striestaaten wahrscheinlich weiterhin gedrückt. Lichtblicke sind sinkende Zinsraten und Fortschritte in der Teuerungs- bekämpfung. (Die durchschnittliche Teuerungsrate im OECD-Raum sank von 14 auf 8,5 Prozent, und in den USA liegt die Jahresteuerung mit 6,5 Prozent nur noch knapp über der schweizerischen.) Mit einer gewissen Erholung der Konjunktur der Industriestaaten kann gegen Ende die- ses Jahres gerechnet werden. Da weltweit die Faktoren, die eine Konjunkturerholung behindern, noch überwiegen, ist es ungewiss, ob diese von Dauer sein wird. Die Lage der schweizerischen Aussenwirtschaft: Seit Jah- resbeginn haben sich die rezessiven Tendenzen im Ausland auch zunehmend auf die schweizerische Wirtschaft übertra- gen. Die Aufträge liegen in den bedeutenderen Branchen mehrheitlich unter dem Vorjahresniveau. Produktion und Kapazitätsauslastung haben abgenommen, und die Beschäftigung ist leicht zurückgegangen. Das Exportvolu- men vermochte sich einstweilen noch auf dem Stand der Vorjahresperiode zu halten. Die seit dem Frühjahr 1982 gegenüber den wichtigsten Konkurrenten wieder etwas ver- besserte Wechselkurslage hat nach Auffassung des Bun- desrates das Risiko eines Abgleitens unserer Wirtschaft in eine deutliche Rezession verringert. Angesichts der internationalen Wirtschaftslage wird indes- sen eine wirtschaftliche Belebung in unserem Land nicht vor dem kommenden Jahr erwartet. Mit Blick auf die gleich- zeitige Schwäche der inländischen Nachfrage wird sich die wirtschaftliche Durststrecke in der Schweiz mit grosser Wahrscheinlichkeit bis weit in das kommende Jahr hinein- ziehen, aber ein dramatischer Rezessionseinbruch ist kaum zu erwarten. Die Liquiditätskrise Mexikos, ein Ereignis, das erst nach Erscheinen des Aussenwirtschaftsberichtes eintrat, gab ganz allgemein zu einer Diskussion über die wachsende Verschuldung und Zahlungsunfähigkeit verschiedener Län- der Anlass. Der Fall Mexiko ist insofern von grundsätzlicher Bedeutung, als es sich hier um ein wichtiges erdölproduzie- rendes und -exportierendes Land handelt, das unter den sinkenden Erdölpreisen leidet, eine Entwicklung, die auch andere erdölexportierende Länder in Schwierigkeiten brin- gen könnte. Mit den schwindenden Einnahmen dieser Län- der nimmt auch die Möglichkeit ab, Defizite durch PetrodoJ- lars zu finanzieren. Der Fall Mexiko könnte Auswirkungen auf einen unserer wichtigsten Exportmärkte in Südamerika (Jahresumsatz 500 Millionen Franken) haben. Im Zusammenhang mit den zunehmenden Zahlungschwie- rigkeiten verschiedener Länder kam man auch auf das Thema Exportrisikogarantie zu sprechen, wobei die Verwal- tung betonte, dass die ERG nicht zum vornherein ein Ver- lustgeschäft darstelle und man von einer Dramatisierung der Lage Abstand nehmen solle. Zur Diskussion stand auch die Frage der Zurückhaltung bei der Ausrichtung der Teuerungszulagen, wobei betont wurde, dass das Einvernehmen zwischen den Sozialpart- nern nach wie vor gut sei und dass man sich bei dieser Frage bisher auf allen Seiten sehr flexibel verhalten habe. Die einstimmige Kommission beantragt, vom 19. Bericht zur Aussenwirtschaftspolitik Kenntnis zu nehmen und den Bun- desbeschlüssen über die Genehmigung aussenwirtschaftli- cher Massnahmen und über eine Abänderung des Überein- kommens von Stockholm betreffend die EFTA-Sonder- bestimmungen für Portugal zuzustimmen. Risi-Schwyz, Berichterstatter: Sie haben letzte Woche den 19. Bericht zur Aussenwirtschaftspolitik erhalten. Erst heute erhielt ich Kenntnis, dass von selten des Departements einige Korrekturen vorgeschlagen werden, und zwar zwei Präzisierungen und eine Diskussionsgrundlage. Sie sind aber nicht grundsätzlicher Natur, so dass sie die</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05 Séance Seduta Geschäftsnummer --- Numéro d'objet Numero dell'oggetto Datum 27.09.1982 - 15:30 Date Data Seite 1134-1142 Page Pagina Ref. No 20 010 752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