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20010746 vom 23. September 1982</w:t>
      </w:r>
    </w:p>
    <w:p>
      <w:r>
        <w:t>Bundesverwaltung, 1982-09-23, DE</w:t>
      </w:r>
    </w:p>
    <w:p>
      <w:r>
        <w:rPr>
          <w:b/>
        </w:rPr>
        <w:t xml:space="preserve">Quelle: </w:t>
      </w:r>
      <w:r>
        <w:t>https://mcp.opencaselaw.ch/entscheid/ch_vb__td_class__metadataCell__20010746__td_</w:t>
      </w:r>
    </w:p>
    <w:p>
      <w:r>
        <w:t>FR: CH_VB 20010746 du 23 septembre 1982</w:t>
      </w:r>
    </w:p>
    <w:p>
      <w:r>
        <w:t>IT: CH_VB 20010746 del 23 settembre 1982</w:t>
      </w:r>
    </w:p>
    <w:p>
      <w:pPr>
        <w:pStyle w:val="Heading2"/>
      </w:pPr>
      <w:r>
        <w:t>Erwägungen</w:t>
      </w:r>
    </w:p>
    <w:p>
      <w:r>
        <w:rPr>
          <w:b/>
        </w:rPr>
        <w:t>E. 23</w:t>
      </w:r>
    </w:p>
    <w:p>
      <w:r>
        <w:t>septembre 1982 eihe Überweisung an den Bundesrat. Wenn Sie so beschliessen, kann dies nur verstanden werden im Sinne und im Rahmen der Stellungnahme des Bundesrates im Brief vom 11. November 1981. Ich möchte nur die Hauptvor- behalte in Erinnerung rufen. Einmal zu Litera a: Diese «unverzügliche» Einführung einer Energiepolitik hängt von allerhand Voraussetzungen ab, einmal vom Inkrafttreten der Verfassungsbestimmungen, die Sie gestern verabschiedet haben, die aber noch Differenzbereinigungen rufen, und sodann von der Abstimmung durch Volk und Stände und nachher natürlich von der Ausführungsgesetzgebung über die aber Sie befinden. Dieses «unverzüglich» kann vom Bundesrat nicht garantiert werden. In Litera e wird verlangt, dass die Volksrechte bei der künftigen Atomgesetzgebung - Totalrevision des Atomgesetzes - erweitert werden. Ob Sie dann diese Volksrechte erweitern wollen oder nicht, das bleibt der Legislative vorbehalten, die allein kompetent ist, über den Entwurf für eine Totalrevision zu befinden. Und in Litera f das Begehren anzuerkennen, dass die Opposition gegen die Erstellung von Lagern für radioaktive Abfälle begründet sei, das hat seine Grenze an den geltenden rechtlichen Regelungen. Es ist in einer Verordnung, abge- stützt auf das geltende Gesetzesrecht, genau festgelegt, wie derartige Gesuche um die Erforschung und dann allen- falls einmal auch um die Anlage von Lagerstätten behandelt werden müssen. Daran haben sich der Bundesrat und die Verwaltung zu halten. Die Regierung des Kantons Tessin wird selbstverständlich in einem solchen Verfahren, wenn es um eine Lagerstätte im Kanton Tessin geht, wie jede andere Kantonsregierung Gelegenheit erhalten, sich mass- geblich zu äussern. Und zu Litera c und damit zu den Ausführungen von Natio- nalrat Carobbio: Es ist in der Tat - es wurde bereits in der Diskussion darauf hingewiesen - irrtümlich, wenn man davon ausgeht, dass die Sicherheitsvorkehren und Sicher- heitsmassnahmen in unserem Lande in bezug auf Kern- kraftwerke ungenügend seien. Im Gegenteil: Wir dürfen feststellen, dass in unserem Lande alles vernünftigerweise Erdenkliche - auch nach Massgabe der Gesetzgebung - gemacht wird, sowohl bei der Projektierung solcher Kern- kraftwerke als auch bei der Bauüberwachung und bei der permanenten Betriebsüberwachung, und dort insbeson- dere auch beim sogenannten Nachrüsten. Wir dürfen in aller Bescheidenheit feststellen, dass wir in bezug auf Sicherheitsmassnahmen - vor allem in bezug auch auf die Tätigkeit der Bundesinstanzen auf diesem Gebiet - weltweit eine Spitzenposition einnehmen. Wir werden uns aber wei- terhin bemühen, alle diese Sicherheitsmassnahmen, insbe- sondere auch nach Massgabe der technischen Entwick- lung, noch zu verbessern. Nun zum Antrag Ihrer Kommission: Diese Standesinitiative an den Bundesrat zur Erledigung zu überweisen, das kann nur als Auftrag verstanden werden, den Behörden des Kan- tons Tessin gegenüber zu diesem Anliegen Stellung zu beziehen, und zwar im Sinne der Ausführungen des Bun- desrates im Schreiben vom 11. November 1981. Das ist auch, wie aus den Materialien hervorgeht, der eindeutige Wille der Kommission gewesen. Es war nämlich so, dass Nationalrat Euler in der Kommission einen Antrag einge- bracht hatte auf Weiterbehandlung der Standesinitiative. Der Antrag lautete: «Die Kommission beantragt, von der Standesinitiative Kenntnis zu nehmen und sie dem Bundes- rat zur Weiterbehandlung zu überweisen.» Dann hat der Bundesrat - wie das vorgeschrieben ist - mit diesem Brief vom 11. November 1981 die Schranken bekanntgegeben, die nach Verfassung und Gesetz gelten. An der Kommis- sionssitzung am 27. November 1981 hat Nationalrat Euler, nach Kenntnisnahme dieses Papiers und nach den mündli- chen Erläuterungen des Departementschefs, ausgeführt: Nach diesen Ausführungen stelle er sich das weitere Vorge- hen so vor: «Der Bundesrat nimmt die Standesinitiative ent- gegen. Die von Bundesrat Schlumpf heute abgegebenen Erläuterungen werden in einem Bericht zusammengefasst, der dann mit einem neuen Schreiben des Bundesrates an den Kanton Tessin gesandt wird.» Und gestützt darauf wurde der neue Antrag eingebracht. Es war ein Kombinationsantrag von Präsident Meier und Herrn Euler, der lautete: «Die Kommission beantragt, von der Standesinitiative Kenntnis zu nehmen und diese dem Bun- desrat zur Erledigung zu überweisen.» Es ist ganz klar, was die Kommission und die Antragsteller mit «zur Erledigung überweisen» meinten, also nicht eine Erfüllung der Anliegen a, b, c, d, e, sondern eine Stellungnahme, insbesondere nach Massgabe des damaligen Schreibens des Bundesra- tes und meiner mündlichen Ergänzungen, die in diesem Protokoll enthalten sind. Es geht also nicht um eine Zustim- mung zu den Anliegen dieser Standesinitiative. Die Über- weisung zur Erledigung bedeutet lediglich und kann nur so verstanden werden, dass daraus nicht konkrete Handlungs- ansprüche abgeleitet werden können, sondern ein Anspruch der Behörden des Kantons Tessin auf eine Stel- lungnahme des Bundesrates; denn auch hier würde natür- lich das Prinzip gelten ultra posse nemo tenetur. Dieses «posse» ist für den Bundesrat ein verfassungs- wie gesetz- mässiger Auftrag. Im Rahmen von Verfassung und Gesetz wird der Bundesrat auch in der vorliegenden Sache han- deln, wenn Sie die Überweisung zur Erledigung beschlies- sen, so wie sie die Kommission beantragt und wie es von den Herren Kommissionsreferenten auch interpretiert wurde. Abstimmung - Vote Für den Antrag der Kommission Für den Antrag Frei-Romanshorn An den Ständerat - Au Conseil des Etats 83 Stimmen 66 Stimmen #ST# 80.089 Eisenbahngesetz. Revision Loi sur les chemins de fer. Révision Siehe Jahrgang 1981, Seite 1461 - Voir année 1981, page 1461 Beschluss des Ständerates vom 23. Juni 1982 Décision du Conseil des Etats du 23 juin 1982 Differenzen - Divergences Ziff. I Art. 3 Abs. 2, 18 Abs. 2, 18b Abs. 1, 18d bis, 18e Abs. 1, 18h Ch. I art. 3 al. 2, 18 al. 2, 18b al. 1, 18d^, 18e al. 1,18h Antrag der Kommission Zustimmung zum Beschluss des Ständerates Proposition de la commission Adhérer à la décision du Conseil des Etats Räz, Berichterstatter: Wir haben beim Eisenbahngesetz drei Differenzen zu bereinigen. Der erste Punkt betrifft Artikel 3 Absatz 2, wo der Ständerat neu vorschlägt: «Das Enteignungsverfahren kommt erst zur Anwendung, wenn die Bemühungen für einen freihändigen Erwerb der erforderlichen Rechte oder für eine Landumle- gung nicht zum Ziele führen.» Der Ständerat führt hier also eine Bremse ein und verlangt damit, dass alles yorgängig gehandhabt wird, bevor die Enteignung in Kraft tritt. Es ist dies auch eine Beruhigung für die Regionen und Gebiete, wo solche Projekte zur Diskussion stehen. Zum zweiten Punkt: Artikel 18, 18b und 18e betreffen alle das gleiche. Es geht hier um die Anhörung. Der Bundesrat hat beantragt: «Die Anhörung betroffener Bundesstellen,</w:t>
      </w:r>
    </w:p>
    <w:p>
      <w:r>
        <w:t>Schweizerisches Bundesarchiv, Digitale Amtsdruckschriften Archives fédérales suisses, Publications officielles numérisées Archivio federale svizzero, Pubblicazioni ufficiali digitali Initiative des Kantons Tessin Energiepolitik Initiative du canton du Tessin Politique énergétique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04 Séance Seduta Geschäftsnummer 80.201 Numéro d'objet Numero dell'oggetto Datum 23.09.1982 - 08:00 Date Data Seite 1110-1116 Page Pagina Ref. No 20 010 746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