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20010337 vom 19. März 1982</w:t>
      </w:r>
    </w:p>
    <w:p>
      <w:r>
        <w:t>Bundesverwaltung, 1982-03-19, DE</w:t>
      </w:r>
    </w:p>
    <w:p>
      <w:r>
        <w:rPr>
          <w:b/>
        </w:rPr>
        <w:t xml:space="preserve">Quelle: </w:t>
      </w:r>
      <w:r>
        <w:t>https://mcp.opencaselaw.ch/entscheid/ch_vb__td_class__metadataCell__20010337__td_</w:t>
      </w:r>
    </w:p>
    <w:p>
      <w:r>
        <w:t>FR: CH_VB 20010337 du 19 mars 1982</w:t>
      </w:r>
    </w:p>
    <w:p>
      <w:r>
        <w:t>IT: CH_VB 20010337 del 19 marzo 1982</w:t>
      </w:r>
    </w:p>
    <w:p>
      <w:pPr>
        <w:pStyle w:val="Heading2"/>
      </w:pPr>
      <w:r>
        <w:t>Erwägungen</w:t>
      </w:r>
    </w:p>
    <w:p>
      <w:r>
        <w:rPr>
          <w:b/>
        </w:rPr>
        <w:t>E. 19</w:t>
      </w:r>
    </w:p>
    <w:p>
      <w:r>
        <w:t>März 1982 N 517 Dringliche Interpellation Oehler den äusseren Fakten: Zunächst einmal in Selbstmordzahlen in unseren Gefängnissen, die zehnmal höher sind als dieje- nigen in der jeweiligen Gesellschaftsschicht, die sich in Freiheit befindet. Diese Selbstmordzahlen liegen zudem - nicht nur etwas, sondern weit - über den Raten im Ausland. Es zeigt sich auch eine zunehmende Rückfälligkeit von Strafentlassenen, und zwar in Form von schwereren Delik- ten als es die ursprünglichen waren. Ebenso ist ein erschreckender Einstieg in die Drogenabhängigkeit in unse- ren Gefängnissen zu beobachten. Dort werden mehr und mehr drogenfreie Leute angefixt, werden so drogenabhän- gig und teilweise noch in den Anstalten zur Prostitution gezwungen. Ich verweise aber auch auf die Errichtung von Hochsicherheitstrakten, die mit Resozialisierung gar nichts mehr zu tun haben. Der dahinterstehende Strafvollzugsge- danke, die Grundauffassung, nämlich eine aggressive und konfrontative Haltung dem Insassen gegenüber, hat ihren Einfluss natürlich auch auf den gewöhnlichen Strafvollzug. Dieser zeigt sich heute auch in einem Abbau der Sozialar- beit und in einer Zunahme des Sicherheitsdenkens. Ich frage mich ganz ehrlich, ob. bei allen gutgemeinten Reformbemühungen, auch wenn sie vollzogen werden, eine .Gefängnisstrafe überhaupt je resozialisierend sein kann. Es ist kein Zufall, dass die Petenten ihre Petition über- schrieben mit «Abschaffung der Zuchthaus- und der Gefängnisstrafe». Wir können uns auch nicht vor den Erkenntnissen skandinavischer Strafvollzugsbehörden ver- schliessen, die heute davon ausgehen, dass eine Gefäng- nisstrafe an und für sich nie resozialisierend sein kann. Es ist daher meine Meinung, dass wir uns langfristig auf ein Strafrecht einstellen müssen, das Massnahmen und Sank- tionen ins Auge fasst, die ausserhalb von Gefängnisstrafen liegen. Ebenfalls wären schon heute flankierende Massnah- men zu prüfen, wie die Starthilfe von Entlassenen oder die Abschaffung des heute noch gültigen Führerausweisentzu- ges bei Entlassenen, wenn sie das Delikt mit einem Auto begangen haben, usw. Solange aber Gefängnisstrafen gewünscht werden - und ich weiss, sie werden noch sehr, sehr lange gewünscht, unsere Gesellschaft will das, dieses Parlament will das natürlich auch -, solange müssen wir wenigstens einen Strafvollzug anstreben, der so wenig wie möglich schadet, der so wenig wie möglich desozialisiert und der Menschen und Familien so wenig wie möglich zer- stört; all dies bewirkt die Gefängnisstrafe leider! Gerade weil die kantonale Wirklichkeit in den Gefängnissen dermassen schockierend und auch furchtbar ist, will ich den positiven Bericht der Kommission besonders verdan- ken, und deswegen nehme ich die sehr schönen Worte des EJPD ernst und möchte darauf bauen können! Oester, Berichterstatter: Das Votum von Herrn Leuenber- ger zeigt, dass es nicht ganz zufällig ist, wenn uns Petitio- nen zum Thema Strafvollzug unterbreitet werden. Was jedoch der Verein zur Abänderung der Strafpraxis und die Petenten aus der Strafanstalt La Stampa fordern, schiesst weit über das Ziel hinaus und hat keinerlei Verwirklichungs- chancen. Wenn wir Ihnen trotzdem beantragen, die Petitio- nen dem Bundesrat zur Kenntnisnahme zu überweisen, dann deshalb, weil auf diesem Gebiet trotz verschiedener Verbesserungen in den vergangenen Jahren noch viel zu tun bleibt. Zwar sind die Kantone für den Strafvollzug im wesentlichen zuständig, aber der Bund sollte im Gespräch mit ihnen an der dauernden Verbesserung des Strafvollzugs als einer ständigen Staatsaufgabe mitarbeiten. Es gilt, den Grundsatz des Artikels 37 Absatz 1 des Strafgesetzbuches trotz grosser Probleme in die Tat umzusetzen. Permettez-moi, chers collègues romands, de récapituler en quelques mots, à la place de M. Duboule qui a demandé qu'on l'excuse pour aujourd'hui, la prise de position de notre commission face aux pétitions en question. Nous sommes d'avis qu'une suppression totale de toutes les peines privatives de liberté n'a aucune chance d'être réalisée ces prochaines années. Pour la Commission des pétitions et de l'examen des constitutions cantonales, ce n'était donc pas un sujet de discussion. Par contre, nous sommes conscients du fait que l'amélioration des condi- tions de détention, dans les établissements pénitentiaires, est l'une des tâches permanentes de l'Etat. Malgré les nom- breuses améliorations que les cantons ont déjà réalisées, il nous paraît nécessaire que la Confédération continue son dialogue avec les cantons en vue d'obtenir de meilleurs résultats, dans ce sens qu'un plus grand nombre d'anciens détenus trouvent le bon chemin pour se réintégrer dans la société. Nous vous prions donc de suivre notre proposition et de transmettre la pétition au Conseil fédéral pour information. Präsidentin: Die Petitions- und Gewährleistungskommis- sion beantragt, die beiden Petitionen dem Bundesrat zur Kenntnisnahme zu überweisen. Es wird kein anderer Antrag gestellt. Sie haben so beschlossen. #ST# 82.335 Dringliche Interpellation Oehler Saurer Arbon. Zusätzliche Bundesaufträge Interpellation urgente Oehler Saurer Arbon. Commandes supplémentaires de la Confédération Wortlaut der Interpellation vom 2. März 1982 Die jüngste Entwicklung im Nutzfahrzeugsektor der Aktien- gesellschaft Adolph Saurer Arbon berührt nachhaltig und vorerst sehr negativ mindestens die grosse Region Ost- schweiz. Die öffentliche Hand hat andererseits einen gros- sen und ausgewiesenen Bedarf an Nutzfahrzeugen. In der Annahme, dass das Parlament die erste Tranche von 400 schweren Lastwagen noch in diesem Jahr bewilligen wird, kann daraus eine positive Auswirkung auf die Beschäfti- gungslage im Arboner Unternehmen erwartet werden. In Anbetracht der - offiziellen Angaben zufolge - gefährdeten Arbeitsplätze im Ausmass bis zu 1000 wird der Bundesrat um Auskunft gefragt, ob nicht 1. in einem beschleunigten Verfahren beispielsweise die Beschaffung der Nachfolge-Fahrzeuge der veralteten Jeeps vorgezogen werden kann? 2. Kann der Bundesrat Auskunft über den Stand der Evaluationsverfahren und den Hinweis, dass gesamthaft rund 2000 geländegängige Leichtfahrzeuge beschafft wer- den müssen, geben? 3. Ist der Bundesrat bereit, in Anbetracht der nationalen Bedeutung des Unternehmens bestimmte Präferenzen abzugeben? 4. Ist der Bundesrat in diesem Sinne u. a. bereit, bei ande- ren Stellen der öffentlichen Hand dahin zu wirken, dass bei qualitativ und preislich verantwortbaren Rahmenbedingun- gen einheimische Unternehmen berücksichtigt werden, vor allem auch, wenn die Beschaffung mit Bundesmitteln finan- ziert wird? 5. Ist der Bundesrat allenfalls bereit, hierfür Mittel unter dem Hinweis auf wirtschaftlich bedrohte Regionen frei zu machen? Texte de l'interpellation du 2 mars 1982 Les récents développements qui se sont produits dans le secteur des véhicules utilitaires de la société anonyme Adolph Saurer Arbon touchent durablement et pour l'ins- tant en tout cas de façon très fâcheuse, ne serait-ce que la 66-N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 Numéro d'objet Numero dell'oggetto Datum 19.03.1982 - 08:00 Date Data Seite 516-517 Page Pagina Ref. No</w:t>
      </w:r>
    </w:p>
    <w:p>
      <w:r>
        <w:rPr>
          <w:b/>
        </w:rPr>
        <w:t>E. 20</w:t>
      </w:r>
    </w:p>
    <w:p>
      <w:r>
        <w:t>010 337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