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10141948 vom 16. Juni 2008</w:t>
      </w:r>
    </w:p>
    <w:p>
      <w:r>
        <w:t>Bundesverwaltung, 2008-06-16, DE</w:t>
      </w:r>
    </w:p>
    <w:p>
      <w:r>
        <w:rPr>
          <w:b/>
        </w:rPr>
        <w:t xml:space="preserve">Quelle: </w:t>
      </w:r>
      <w:r>
        <w:t>https://mcp.opencaselaw.ch/entscheid/ch_vb__td_class__metadataCell__10141948__td_</w:t>
      </w:r>
    </w:p>
    <w:p>
      <w:r>
        <w:t>FR: CH_VB 10141948 du 16 juin 2008</w:t>
      </w:r>
    </w:p>
    <w:p>
      <w:r>
        <w:t>IT: CH_VB 10141948 del 16 giugno 2008</w:t>
      </w:r>
    </w:p>
    <w:p>
      <w:pPr>
        <w:pStyle w:val="Heading2"/>
      </w:pPr>
      <w:r>
        <w:t>Volltext</w:t>
      </w:r>
    </w:p>
    <w:p>
      <w:r>
        <w:t>Notification (art. 36, let. b de la loi fédérale du 20 décembre 1968 sur la procédure administra- tive, PA) sans domicile de notification en Suisse. Statuant sur votre recours du 30 mars 2005, le Tribunal administratif fédéral, par ordonnance du 16 juin 2008, a prononcé: 1. Le recours est radié du rôle. 2. Il n'est pas perçu de frais de procédure. Indication de la voie de droit: La présente décision peut être attaquée devant le Tribunal fédéral, 1000 Lausanne 14, par la voie du recours en matière de droit public, dans les trente jours qui suivent la notification (art. 82 ss, 90 ss et 100 de la loi du 17 juin 2005 sur le Tribunal fédé- ral [LTF, RS 173.110]). Le mémoire doit être rédigé dans une langue officielle, indiquer les conclusions, les motifs et les moyens de preuve, et être signé. La déci- sion attaquée et les moyens de preuve doivent être joints au mémoire, pour autant qu'ils soient en mains de la partie recourante (voir art. 42 LTF). 23 juin 2008 Tribunal administratif fédéral 2008-1683 5321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26 Cahier Numero Geschäftsnummer --- Numéro d'affaire Numero dell'oggetto Datum 01.07.2008 Date Data Seite 5321-5321 Page Pagina Ref. No 10 141 948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