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10140802 vom 27. März 2007</w:t>
      </w:r>
    </w:p>
    <w:p>
      <w:r>
        <w:t>Bundesverwaltung, 2007-03-27, DE</w:t>
      </w:r>
    </w:p>
    <w:p>
      <w:r>
        <w:rPr>
          <w:b/>
        </w:rPr>
        <w:t xml:space="preserve">Quelle: </w:t>
      </w:r>
      <w:r>
        <w:t>https://mcp.opencaselaw.ch/entscheid/ch_vb__td_class__metadataCell__10140802__td_</w:t>
      </w:r>
    </w:p>
    <w:p>
      <w:r>
        <w:t>FR: CH_VB 10140802 du 27 mars 2007</w:t>
      </w:r>
    </w:p>
    <w:p>
      <w:r>
        <w:t>IT: CH_VB 10140802 del 27 marzo 2007</w:t>
      </w:r>
    </w:p>
    <w:p>
      <w:pPr>
        <w:pStyle w:val="Heading2"/>
      </w:pPr>
      <w:r>
        <w:t>Volltext</w:t>
      </w:r>
    </w:p>
    <w:p>
      <w:r>
        <w:t>Notification (art. 36 de la loi fédérale sur la procédure administrative, PA) actuellement sans domicile connu: Par procès-verbal final et décision du 27 mars 2007, la Section des enquêtes de Lausanne vous a déclaré assujetti à la prestation pour un montant de redevances d'entrée de 10 054 fr. 30. Ce montant doit être versé dans les quatorze jours à comp- ter de l'entrée en force de cette décision sur le compte postal n° 10-941-4 de la Section des enquêtes de Lausanne, avenue Tissot 8, 1006 Lausanne ou sur le compte de la Direction générale des douanes n° 1530-5-30-2 auprès de la Banque nationale suisse. Cette décision peut être attaquée dans les 30 jours à compter de la publication de la notification par un recours à adresser en double exemplaire à la Direction générale des douanes, CH-3003 Berne. Si le délai précité expire sans avoir été utilisé, la décision d'assujettissement à la prestation entre en force de chose jugée. 24 juillet 2007 Direction d'arrondissement des douanes Genève Section des enquêtes Lausanne 5374 2007-1720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30 Cahier Numero Geschäftsnummer --- Numéro d'affaire Numero dell'oggetto Datum 24.07.2007 Date Data Seite 5374-5374 Page Pagina Ref. No 10 140 802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