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10125751 vom 3. Oktober 2001</w:t>
      </w:r>
    </w:p>
    <w:p>
      <w:r>
        <w:t>Bundesverwaltung, 2001-10-03, DE</w:t>
      </w:r>
    </w:p>
    <w:p>
      <w:r>
        <w:rPr>
          <w:b/>
        </w:rPr>
        <w:t xml:space="preserve">Quelle: </w:t>
      </w:r>
      <w:r>
        <w:t>https://mcp.opencaselaw.ch/entscheid/ch_vb__td_class__metadataCell__10125751__td_</w:t>
      </w:r>
    </w:p>
    <w:p>
      <w:r>
        <w:t>FR: CH_VB 10125751 du 3 octobre 2001</w:t>
      </w:r>
    </w:p>
    <w:p>
      <w:r>
        <w:t>IT: CH_VB 10125751 del 3 ottobre 2001</w:t>
      </w:r>
    </w:p>
    <w:p>
      <w:pPr>
        <w:pStyle w:val="Heading2"/>
      </w:pPr>
      <w:r>
        <w:t>Volltext</w:t>
      </w:r>
    </w:p>
    <w:p>
      <w:r>
        <w:t>Notification (art. 36 de la loi fédérale sur la procédure administrative, PA) Par décision du 3 octobre 2001, la Direction des douanes de Genève a déclaré la société assujettie à la prestation pour un montant de redevances d'entrée de CHF 11 651.15. Ce montant doit être versé dans les 14 jours à compter de l'entrée en force de cette décision sur le compte de chèques postaux n° 12-271-5 de la Direction des douanes de Genève ou sur le compte de la Direction générale des douanes n° 1530-5-30-2 auprès de la Banque nationale suisse. Cette décision peut être attaquée dans les 30 jours à compter de la publication de la notification par un recours à adresser en double exemplaire à la Direction générale des douanes, CH-3003 Berne. Si le délai précité expire sans avoir été utilisé, la décision d'assujettissement à la prestation entre en force de chose jugée. 23 octobre 2001 Direction générale des douanes 2001-2196 5589</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42 Cahier Numero Geschäftsnummer --- Numéro d'affaire Numero dell'oggetto Datum 23.10.2001 Date Data Seite 5589-5589 Page Pagina Ref. No 10 125 751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