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10124858 vom 7. Mai 1997</w:t>
      </w:r>
    </w:p>
    <w:p>
      <w:r>
        <w:t>Bundesverwaltung, 1997-05-07, DE</w:t>
      </w:r>
    </w:p>
    <w:p>
      <w:r>
        <w:rPr>
          <w:b/>
        </w:rPr>
        <w:t xml:space="preserve">Quelle: </w:t>
      </w:r>
      <w:r>
        <w:t>https://mcp.opencaselaw.ch/entscheid/ch_vb__td_class__metadataCell__10124858__td_</w:t>
      </w:r>
    </w:p>
    <w:p>
      <w:r>
        <w:t>FR: CH_VB 10124858 du 7 mai 1997</w:t>
      </w:r>
    </w:p>
    <w:p>
      <w:r>
        <w:t>IT: CH_VB 10124858 del 7 maggio 1997</w:t>
      </w:r>
    </w:p>
    <w:p>
      <w:pPr>
        <w:pStyle w:val="Heading2"/>
      </w:pPr>
      <w:r>
        <w:t>Volltext</w:t>
      </w:r>
    </w:p>
    <w:p>
      <w:r>
        <w:t>Notification (art. 64 de la loi fédérale sur le droit pénal administratif, DP A) Par décision du 7 mai 1997, entrée en force, vous avez été assujetti à la prestation pour un montant de 29 351 fr. 55 et des frais de procédure pour un montant de 830 fr. ont été mis à votre charge. En outre, vu le procès-verbal final dressé contre vous le 21 juin 1996, la Direction générale des douanes vous a condamné, par mandat de répression du 5 septembre 2000, en vertu des art. 78, 75, 77, 82, ch. 2, et 87 de la loi fédérale du 1er octobre 1925 sur les douanes (LD), ainsi que des art. 78 et 80 de l'ordonnance du 22 juin 1994 régissant la taxe sur la valeur ajoutée (OTVA), à une amende de 12 000 francs et à un émolument de décision de 900 francs (somme totale due: 12 900 fr.).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 68 DP A). Si aucune opposition n'est formée dans le délai imparti, le mandat de répression est assimilé à un jugement passé en force (art. 67 DPA). Dans cette éventualité, vous êtes invité à verser, pour les redevances, les frais de procédure, l'amende et l'émolument de décision, le montant total de 43 081 fr. 55 au compte postal 10-941-4 de la Douane Suisse, Service des enquêtes de Lausanne, dans les 30 jours qui suivent l'entrée en force du mandat de répression. En cas de non-paiement, le montant de l'amende pourra être converti en arrêts (art. 10 DPA). 3 octobre 2000 Direction générale des douanes 4576 2000-2049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39 Cahier Numero Geschäftsnummer --- Numéro d'affaire Numero dell'oggetto Datum 03.10.2000 Date Data Seite 4576-4576 Page Pagina Ref. No 10 124 858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