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10109810 vom 3. Februar 1993</w:t>
      </w:r>
    </w:p>
    <w:p>
      <w:r>
        <w:t>Bundesverwaltung, 1993-02-03, DE</w:t>
      </w:r>
    </w:p>
    <w:p>
      <w:r>
        <w:rPr>
          <w:b/>
        </w:rPr>
        <w:t xml:space="preserve">Quelle: </w:t>
      </w:r>
      <w:r>
        <w:t>https://mcp.opencaselaw.ch/entscheid/ch_vb__td_class__metadataCell__10109810__td_</w:t>
      </w:r>
    </w:p>
    <w:p>
      <w:r>
        <w:t>FR: CH_VB 10109810 du 3 février 1993</w:t>
      </w:r>
    </w:p>
    <w:p>
      <w:r>
        <w:t>IT: CH_VB 10109810 del 3 febbraio 1993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avril 1999 Département fédéral de l'intérieur FFI6 2764</w:t>
      </w:r>
    </w:p>
    <w:p>
      <w:r>
        <w:t>Initiative populaire fédérale „pour plus de sécurité à l'intérieur des localités grâce à une vitesse maximale de 30 km/h assortie d'exceptions (Rues pour tous)" Aboutissement La Chancellerie fédérale suisse, vu les articles 68, 69, 71 et 72 de la loi fédérale du 17 décembre 1976 sur les droits politiques; vu le rapport de la Section des droits politiques de la Chancellerie fédérale sur la vérification des listes de signatures déposées le 16 mars 1999 à l'appui de l'initiative populaire fédérale „pour plus de sécurité à l'intérieur des localités grâce à une vitesse maximale de 30 km/h assortie d'exceptions (Rues pour tous)" , décide: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