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10109138 vom 29. Juli 1997</w:t>
      </w:r>
    </w:p>
    <w:p>
      <w:r>
        <w:t>Bundesverwaltung, 1997-07-29, DE</w:t>
      </w:r>
    </w:p>
    <w:p>
      <w:r>
        <w:rPr>
          <w:b/>
        </w:rPr>
        <w:t xml:space="preserve">Quelle: </w:t>
      </w:r>
      <w:r>
        <w:t>https://mcp.opencaselaw.ch/entscheid/ch_vb__td_class__metadataCell__10109138__td_</w:t>
      </w:r>
    </w:p>
    <w:p>
      <w:r>
        <w:t>FR: CH_VB 10109138 du 29 juillet 1997</w:t>
      </w:r>
    </w:p>
    <w:p>
      <w:r>
        <w:t>IT: CH_VB 10109138 del 29 luglio 1997</w:t>
      </w:r>
    </w:p>
    <w:p>
      <w:pPr>
        <w:pStyle w:val="Heading2"/>
      </w:pPr>
      <w:r>
        <w:t>Erwägungen</w:t>
      </w:r>
    </w:p>
    <w:p>
      <w:r>
        <w:rPr>
          <w:b/>
        </w:rPr>
        <w:t>E. 19</w:t>
      </w:r>
    </w:p>
    <w:p>
      <w:r>
        <w:t>août 1997 Office fédéral de l'économie des eaux 1341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1997 Année Anno Band 3 Volume Volume Heft 32 Cahier Numero Geschäftsnummer --- Numéro d'affaire Numero dell'oggetto Datum 19.08.1997 Date Data Seite 1337-1341 Page Pagina Ref. No 10 109 138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