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10108598 vom 30. Oktober 1997</w:t>
      </w:r>
    </w:p>
    <w:p>
      <w:r>
        <w:t>Bundesverwaltung, 1997-10-30, DE</w:t>
      </w:r>
    </w:p>
    <w:p>
      <w:r>
        <w:rPr>
          <w:b/>
        </w:rPr>
        <w:t xml:space="preserve">Quelle: </w:t>
      </w:r>
      <w:r>
        <w:t>https://mcp.opencaselaw.ch/entscheid/ch_vb__td_class__metadataCell__10108598__td_</w:t>
      </w:r>
    </w:p>
    <w:p>
      <w:r>
        <w:t>FR: CH_VB 10108598 du 30 octobre 1997</w:t>
      </w:r>
    </w:p>
    <w:p>
      <w:r>
        <w:t>IT: CH_VB 10108598 del 30 ottobre 1997</w:t>
      </w:r>
    </w:p>
    <w:p>
      <w:pPr>
        <w:pStyle w:val="Heading2"/>
      </w:pPr>
      <w:r>
        <w:t>Erwägungen</w:t>
      </w:r>
    </w:p>
    <w:p>
      <w:r>
        <w:rPr>
          <w:b/>
        </w:rPr>
        <w:t>E. 1</w:t>
      </w:r>
    </w:p>
    <w:p>
      <w:r>
        <w:t>La liste de signatures à l'appui de l'initiative populaire fédérale "pour des loyers loyaux", présentée le 22 mars 1996,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celui qui falsifie le résultat d'une récolte de signatures à l'appui d'une initiative populaire est punissable, ainsi que les noms et adresses d'au moins sept auteurs de l'initiative. L'Assemblée fédérale ne se prononcera sur la validité de l'initiative que lorsque celle-ci aura abouti.</w:t>
      </w:r>
    </w:p>
    <w:p>
      <w:r>
        <w:rPr>
          <w:b/>
        </w:rPr>
        <w:t>E. 2</w:t>
      </w:r>
    </w:p>
    <w:p>
      <w:r>
        <w:t>L'initiative populaire peut être retirée sans réserve par une décision prise à la majorité simple des auteurs suivants: 1 RS 161.1 1996 - 242 531</w:t>
      </w:r>
    </w:p>
    <w:p>
      <w:r>
        <w:t>Initiative populaire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