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Vorwort 7 vom 31. Dezember 1992</w:t>
      </w:r>
    </w:p>
    <w:p>
      <w:r>
        <w:t>Bundesverwaltung, 1992-12-31, DE</w:t>
      </w:r>
    </w:p>
    <w:p>
      <w:r>
        <w:rPr>
          <w:b/>
        </w:rPr>
        <w:t xml:space="preserve">Quelle: </w:t>
      </w:r>
      <w:r>
        <w:t>https://mcp.opencaselaw.ch/entscheid/ch_vb_Vorwort_7</w:t>
      </w:r>
    </w:p>
    <w:p>
      <w:r>
        <w:t>FR: CH_VB Vorwort 7 du 31 décembre 1992</w:t>
      </w:r>
    </w:p>
    <w:p>
      <w:r>
        <w:t>IT: CH_VB Vorwort 7 del 31 dicembre 1992</w:t>
      </w:r>
    </w:p>
    <w:p>
      <w:pPr>
        <w:pStyle w:val="Heading2"/>
      </w:pPr>
      <w:r>
        <w:t>Erwägungen</w:t>
      </w:r>
    </w:p>
    <w:p>
      <w:r>
        <w:rPr>
          <w:b/>
        </w:rPr>
        <w:t>E. 7</w:t>
      </w:r>
    </w:p>
    <w:p>
      <w:r>
        <w:t>Gaby Knoch-Mund Privatnachlässe in schweizerischen Archiven und Bibliotheken</w:t>
      </w:r>
    </w:p>
    <w:p>
      <w:r>
        <w:rPr>
          <w:b/>
        </w:rPr>
        <w:t>E. 7.1</w:t>
      </w:r>
    </w:p>
    <w:p>
      <w:r>
        <w:t>Die Lehren der Geschichte 200</w:t>
      </w:r>
    </w:p>
    <w:p>
      <w:r>
        <w:rPr>
          <w:b/>
        </w:rPr>
        <w:t>E. 7.2</w:t>
      </w:r>
    </w:p>
    <w:p>
      <w:r>
        <w:t>Der europäische Bundesstaat 201</w:t>
      </w:r>
    </w:p>
    <w:p>
      <w:r>
        <w:rPr>
          <w:b/>
        </w:rPr>
        <w:t>E. 7.3</w:t>
      </w:r>
    </w:p>
    <w:p>
      <w:r>
        <w:t>Neue Wirtschaftsordnung 204</w:t>
      </w:r>
    </w:p>
    <w:p>
      <w:r>
        <w:rPr>
          <w:b/>
        </w:rPr>
        <w:t>E. 7.4</w:t>
      </w:r>
    </w:p>
    <w:p>
      <w:r>
        <w:t>Die Kultur 207</w:t>
      </w:r>
    </w:p>
    <w:p>
      <w:r>
        <w:rPr>
          <w:b/>
        </w:rPr>
        <w:t>E. 7.5</w:t>
      </w:r>
    </w:p>
    <w:p>
      <w:r>
        <w:t>Der Mensch im künftigen Europa 210</w:t>
      </w:r>
    </w:p>
    <w:p>
      <w:r>
        <w:rPr>
          <w:b/>
        </w:rPr>
        <w:t>E. 7.6</w:t>
      </w:r>
    </w:p>
    <w:p>
      <w:r>
        <w:t>Was heisst Europa? 212</w:t>
      </w:r>
    </w:p>
    <w:p>
      <w:r>
        <w:rPr>
          <w:b/>
        </w:rPr>
        <w:t>E. 7.7</w:t>
      </w:r>
    </w:p>
    <w:p>
      <w:r>
        <w:t>Das Europa der Nachkriegszeit 214</w:t>
      </w:r>
    </w:p>
    <w:p>
      <w:r>
        <w:rPr>
          <w:b/>
        </w:rPr>
        <w:t>E. 7.8</w:t>
      </w:r>
    </w:p>
    <w:p>
      <w:r>
        <w:t>Europa als Dritte Kraft 216</w:t>
      </w:r>
    </w:p>
    <w:p>
      <w:r>
        <w:rPr>
          <w:b/>
        </w:rPr>
        <w:t>E. 7.9</w:t>
      </w:r>
    </w:p>
    <w:p>
      <w:r>
        <w:t>Und die Schweiz? 218 8 Zusammenfassung 221 9 Bibliographie 223 Résumé 225 Compendio 227 Das Schweizerische Bundesarchiv veröffentlicht 230</w:t>
      </w:r>
    </w:p>
    <w:p>
      <w:r>
        <w:t>Schweizerisches Bundesarchiv, Digitale Amtsdruckschriften Archives fédérales suisses, Publications officielles numérisées Archivio federale svizzero, Pubblicazioni ufficiali digitali Inhalt Sommaire Sommario In Studien und Quellen Dans Etudes et Sources In Studi e Fonti Jahr 1992 Année Anno Band</w:t>
      </w:r>
    </w:p>
    <w:p>
      <w:r>
        <w:rPr>
          <w:b/>
        </w:rPr>
        <w:t>E. 9</w:t>
      </w:r>
    </w:p>
    <w:p>
      <w:r>
        <w:t>2 Vorgeschichte der Neuauflage</w:t>
      </w:r>
    </w:p>
    <w:p>
      <w:r>
        <w:rPr>
          <w:b/>
        </w:rPr>
        <w:t>E. 12</w:t>
      </w:r>
    </w:p>
    <w:p>
      <w:r>
        <w:t>2.1 Projektgeschichte</w:t>
      </w:r>
    </w:p>
    <w:p>
      <w:r>
        <w:rPr>
          <w:b/>
        </w:rPr>
        <w:t>E. 13</w:t>
      </w:r>
    </w:p>
    <w:p>
      <w:r>
        <w:t>3 Die Neuauflage des "Repertorium der Nachlasse"</w:t>
      </w:r>
    </w:p>
    <w:p>
      <w:r>
        <w:rPr>
          <w:b/>
        </w:rPr>
        <w:t>E. 14</w:t>
      </w:r>
    </w:p>
    <w:p>
      <w:r>
        <w:t>3.1 Die Prinzipien der Neuauflage im internationalen Vergleich .... 14 3.2 Darstellung der Kategorien, nach denen Nachlässe in den beiden Schweizer Repertorien von 1967 und 1992 beschrieben werden 21 4 Der Begriff "Nachlass" 26 4.1 Der Begriff "Nachlass" im "Repertorium" 26 4.2 Zur Entwicklung des Nachlassbegriffs 27 5 Datenbank 33 6 Nachlässe im Schweizerischen Bundesarchiv 35 6.1 Archivische Hauptaufgaben Sicherung, Erschliessung, Vermittlung 37 6.1.1 Sicherung 37 6.1.2 Erschliessung 43 6.1.3 Vermittlung 44 6.2 Gliederung des Nachlassbestands natürlicher Personen 44 6.2.1 Exemplarische Darstellung von Nachlässen natürlicher Personen 46 6.3 Juristische Personen 51 7 Zusammenfassung und Ausblick 53 8 Statistik der Nachlässe in schweizerischen Institutionen 55 Anhang 1 59 Anhang 2 60 Résumé 61 Compendio 63</w:t>
      </w:r>
    </w:p>
    <w:p>
      <w:r>
        <w:t>Andreas Kellerhals-Maeder Archivisches Suchen und moderne Informatik 1 Einleitung 65 2 Informatik im Archiv 66 3 Informatik im Bundesarchiv heute 69 3.1 Archivierung elektronischen Schriftgutes 69 3.2 Teilweise Automatisierung der Verwaltung herkömmlichen Archivgutes Das EDIBAR-System 74 3.2.1 Der Ist-Zustand 74 3.2.2 Unmittelbare Ausbaupläne DONABAR - IZBAR 77 4 Das EDIBAR-Retrievalkonzept 80 5 Mögliche Erweiterungen der Retrievalstrategie 86 5.1 Sprachanalytischer Ansatz (NFP 23) 87 5.1.1 Dokumentenparser 90 5.1.2 Die automatische linguistische Analyse 94 5.2 Wissensbasierte Systeme (Expertensysteme) 98 6 Schlussbemerkung 103 7 Literaturverzeichnis 104 Résumé 107 Compendio 108 Gaby Grossen, Thérèse Steffen, Stefan Wiedmer, Stefan Wyss Die politische Polizei in den ersten Jahrzehnten des Schweizerischen Bundesstaates 1 Einleitung 111 2 Die gesetzlich-organisatorische Entwicklung der Bundesanwaltschaft und der politischen Fremdenpolizei 1848-1888 116 2.1 Die gesetzlich-organisatorische Entwicklung 1848-1874 116 2.2 Die gesetzlich-organisatorische Entwicklung 1874-1888 122 3 Fallbeispiele und Feindbildtendenzen 1848-1888 126 4 Die gesetzlich-organisatorische Entwicklung 1889-1914 132 5 Fallbeispiele und Feindbildtendenzen 1889-1914 137 5.1 Fallbeispiele und Feindbildtendenzen 1889-1904 137 5.2 Fallbeispiele und Feindbildtendenzen 1905-1914 142 6 Zusammenfassung 149 7 Quellenverzeichnis 151 Résumé 155 Compendio 157</w:t>
      </w:r>
    </w:p>
    <w:p>
      <w:r>
        <w:t>Thomas Staffelbach Die Europa-Union 1945-1949 1 Einleitung 159 2 Geschichte 161 2.1 Gründung 161 2.2 Entwicklung bis zum Ausbruch des Zweiten Weltkriegs 163 3 Sektionen 165 3.1 Der Verein bei Kriegsende 166 3.2 Die Ortsverbände 167 3.3 Ausdehnung in die Westschweiz 168 3.4 Entwicklung in der Deutschschweiz 170 3.5 Versuche zur Stärkung des Vereins 171 3.6 Die Jung-Europa-Union 172 3.7 Der Verein 1949 174 3.8 Die Europa-Union und die offizielle Schweiz 176 4 Mitglieder 178 4.1 Die Vereinsmitglieder 178 4.2 Der Zentralvorstand 180 5 Meinungsbildung 182 5.1 Meinungsträger 183 5.2 Meinungsbildung nach innen 185 5.3 Meinungsbildung nach aussen 186 6 Beziehungen 188 6.1 Zusammenarbeit auf nationaler Ebene 188 6.2 Internationale Kontakte während des Krieges 189 6.3 Kontaktaufhahme mit dem Ausland nach Kriegsende 190 6.4 Die Hertensteiner Konferenz 191 6.5 Aktion Europa-Union 193 6.6 Die Gründung der Union Européenne des Fédéralistes (UEF) 194 6.7 Die Europa-Union als Glied der UEF 196 6.8 Der Rat der Europäischen Bewegungen 197 7 Das Programm der Europa-Union 198</w:t>
      </w:r>
    </w:p>
    <w:p>
      <w:r>
        <w:rPr>
          <w:b/>
        </w:rPr>
        <w:t>E. 18</w:t>
      </w:r>
    </w:p>
    <w:p>
      <w:r>
        <w:t>Volume Volume Autor - Auteur Autore Seite 3-6 Page Pagina Ref. No 80 000 106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