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Question 1: vom 13. Juni 1983</w:t>
      </w:r>
    </w:p>
    <w:p>
      <w:r>
        <w:t>Bundesverwaltung, 1983-06-13, DE</w:t>
      </w:r>
    </w:p>
    <w:p>
      <w:r>
        <w:rPr>
          <w:b/>
        </w:rPr>
        <w:t xml:space="preserve">Quelle: </w:t>
      </w:r>
      <w:r>
        <w:t>https://mcp.opencaselaw.ch/entscheid/ch_vb_Question_1_</w:t>
      </w:r>
    </w:p>
    <w:p>
      <w:r>
        <w:t>FR: CH_VB Question 1: du 13 juin 1983</w:t>
      </w:r>
    </w:p>
    <w:p>
      <w:r>
        <w:t>IT: CH_VB Question 1: del 13 giugno 1983</w:t>
      </w:r>
    </w:p>
    <w:p>
      <w:pPr>
        <w:pStyle w:val="Heading2"/>
      </w:pPr>
      <w:r>
        <w:t>Erwägungen</w:t>
      </w:r>
    </w:p>
    <w:p>
      <w:r>
        <w:rPr>
          <w:b/>
        </w:rPr>
        <w:t>E. 13</w:t>
      </w:r>
    </w:p>
    <w:p>
      <w:r>
        <w:t>Juni 1983 702 ZGB. Ehewirkungen und Güterrecht Ausstrahlung der sogenannten Rundfunkprogramme der lokalen Ebene regelt, sondern auch die Ausstrahlung der besonderen Rundfunkdienste mit einem Verbreitungsgebiet von maximal 20 Kilometern - bestimmt die Voraussetzun- gen, die gegeben sein müssen, damit das sogenannte Pay-TV veranstaltet werden darf und unter welchen Bedin- gungen die Ausstrahlung zu erfolgen hat. #ST# 79.043 ZGB. Ehewirkungen und Güterrecht Code civil. Effets du mariage et régime matrimonial Fortsetzung - Suite Siehe Seite 662 hiervor - Voir page 662 ci-devant Art. 8 Antrag der Kommission Zustimmung zum Beschluss des Ständerates Proposition de la commission Adhérer à la décision du Conseil des Etats Gerwig, Berichterstatter: Wir stehen also am Ende der Vor- lage. Zuerst noch eine allgemeine Vorbemerkung zum Übergargsrecht. Das Übergangsrecht ist bei allen Gesetzesrevisionen von grosser Bedeutung. Es ist hier die Frage zu entscheiden, ob das neue Recht auch auf alle jene Ehepaare Anwendung findet, die bei Inkrafttreten bereits verheiratet sind, also für gegen drei Millionen Menschen. Vier wesentliche Grund- prinzipien sollen durch die Revision im Gesetz verankert werden. 1. Der Teil mit den allgemeinen Wirkungen der Ehe soll unverzüglich in Kraft treten und Anwendung finden. 2. Die Revision stipuliert auch die sofortige Anwendung des neuen Güterrechts ab Inkrafttreten. 3. Im Gegensatz zum Entwurf des Bundesrates und zum Beschluss des Ständerates schlägt die Kommission als drit- tes Prinzip vor, dass nicht nur alle bisherigen Eheverträge, sondern auch Ihr ganzer Inhalt in Kraft bleiben. 4. Um aber niemandem Gewalt anzutun, kann jeder Ehe- gatte entweder einseitig die Güterverbindung nach altem Recht auflösen, oder es können beide gemeinsam verein- baren, dass sie den Güterstand der Güterverbindung beibe- halten. Wenn sie dies nicht tun (und nur dann), besteht die Vermutung - und lässt sich diese Vermutung auch rechtfer- tigen -, dass die spätere Auflösung nach neuen Recht rückwirkend erfolgt, die sogenannte Vermutung des Einver- ständnisses. Das sind die vier Wesenselemente des Übergangsrechtes. Auf die konkrete Ausgestaltung dieser Normen wird später eingegangen. Die allgemeinen Wirkungen der Ehe sind wesentlich anders ausgestaltet als im geltenden Recht. In Anbetracht der Gleichstellung von Mann und Frau wäre es nicht tragbar, intern gegen den Willen eines Ehegatten die Güterverbin- dung weiterzuführen. Dies würde unter anderem bewirken, dass die Ehefrau wegen der externen Anwendung der neuen Regeln über die Haftung gleichermassen verpflichtet wäre wie der Ehemann, nicht aber die gleichen Rechte hätte. Die Güterverbindung passt nicht mehr in den Rah- men der neuen allgemeinen Wirkungen der Ehe. Eine Ausnahme vom Prinzip, dass alle Eheverträge mit ihrem bisherigen Inhalt weitergelten, ist - und ich sage das jetzt schon, um bei der Gütertrennung nicht noch einmal spre- chen zu müssen - bei der Gütertrennung vorgesehen. Unterstehen die Ehegatten der Gütertrennung, so sollen die neuen Bestimmungen über die Gütertrennung bereits zur Anwendung gelangen. Hier sind die Differenzen so minim, dass es sich nicht lohnen würde, die alten Bestimmungen aufrechtzuerhalten. Soweit aber die Ehegatten unter Güter- gemeinschaft leben, wird das alte Recht weiter gelten. Ich habe bereits darauf hingewiesen, dass die Kommission als drittes wesentliches Grundprinzip den Schutz der bis- herigen Eheverträge wünschte und ihn auch vorschlägt. Wer unter dem geltenden Recht willentlich und wissentlich sich durch Ehevertrag gebunden hat, soll nicht zu irgend etwas anderem gezwungen werden. Es soll der Vertrags- schutz grundsätzlich, trotz vieler Bedenken, die auch in der Kommission vorgetragen wurden, aufrechterhalten bleiben. Bei jenen Ehegatten, die keinen Ehevertrag abgeschlossen haben, ist stets zu beachten, dass die Rechtswirklichkeit von den geltenden Normen weit entfernt ist. Die Güterver- bindung wurde ebenso selten richtig erfasst wie gelebt. Ich meine, die bis zum Inkrafttreten des neuen Rechtes zur Verfügung stehende Zeit soll dazu dienen, durch eine umfassende Aufklärungsphase die Bevölkerung, die Kan- tone, die privaten und öffentlichen Notare zu orientieren. Dies als allgemeine Vorbemerkung zum Übergangsrecht. M. Petitpierre, rapporteur: Deux mots d'introduction au sujet du droit transitoire pour essayer de simplifier les pro- blèmes. La commission s'est rapprochée le plus près possible du système d'Eugen Huber et on peut dire qu'il en reprend fidèlement les principes. Notre système repose sur quatre grandes idées: 1. Article 8: les dispositions générales prennent effet dès l'entrée en vigueur de la loi nouvelle, avec une nuance cependant: les femmes déjà mariées peuvent demander, en ce qui concerne le nom et le droit de cité, l'application du nouveau droit matrimonial (art. 8a1 et 8a). 2. En matière de régime matrimonial ordinaire: Si les époux n'en ont pas décidé autrement, ils sont soumis au nouveau droit (art. 90). Cette règle a l'avantage de ne pas créer de différence entre un régime interne et un régime externe. 3. S'il y a eu contrat de mariage selon le droit actuel, y compris la seule modification de la participation au bénéfice dans l'union des biens, tout le système reste soumis à l'ancien droit, avec une exception: un contrat de mariage qui reprend l'union des biens sans la modifier du tout. 4. Un époux peut obtenir unilatéralement la liquidation du régime matrimonial selon les règles de l'union des biens (art. 9d, 2o al.) ou bien, par un contrat de mariage, les époux peuvent convenir bilatéralement de rester soumis au régime de l'union des biens. Voilà les grandes lignes du système. Le droit successoral dans sa nouvelle version s'applique immédiatement. Je précise, et n'y reviendrai plus lorsque le chiffre III de l'arrêté viendra en discussion, qu'il faudra admettre que le Conseil fédéral puisse fixer l'entrée en vigueur de certaines dispositions du droit transitoire à une date antérieure à celle de l'ensemble de la loi, en particulier dans toutes les hypothèses, dont nous aurons peut-être l'occasion de parler tout à l'heure, où il est demandé aux époux de prendre des mesures, de faire des contrats ou des déclarations avant l'entrée en vigueur de l'ensemble du nouveau droit. Angenommen - Adopté Art. Sa1, Art. 8a Antrag der Kommission Art. fia1 Titel 2. Name</w:t>
      </w:r>
    </w:p>
    <w:p>
      <w:r>
        <w:t>Schweizerisches Bundesarchiv, Digitale Amtsdruckschriften Archives fédérales suisses, Publications officielles numérisées Archivio federale svizzero, Pubblicazioni ufficiali digitali Fragestunde Heure des questions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05 Séance Seduta Geschäftsnummer --- Numéro d'objet Numero dell'oggetto Datum 13.06.1983 - 14:30 Date Data Seite 694-702 Page Pagina Ref. No 20 011 460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