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70.60 vom 25. November 2005</w:t>
      </w:r>
    </w:p>
    <w:p>
      <w:r>
        <w:t>Bundesverwaltung, 2005-11-25, DE</w:t>
      </w:r>
    </w:p>
    <w:p>
      <w:r>
        <w:rPr>
          <w:b/>
        </w:rPr>
        <w:t xml:space="preserve">Quelle: </w:t>
      </w:r>
      <w:r>
        <w:t>https://mcp.opencaselaw.ch/entscheid/ch_vb_JAAC_70.60__</w:t>
      </w:r>
    </w:p>
    <w:p>
      <w:r>
        <w:t>FR: CH_VB JAAC 70.60 du 25 novembre 2005</w:t>
      </w:r>
    </w:p>
    <w:p>
      <w:r>
        <w:t>IT: CH_VB JAAC 70.60 del 25 novembre 2005</w:t>
      </w:r>
    </w:p>
    <w:p>
      <w:pPr>
        <w:pStyle w:val="Heading2"/>
      </w:pPr>
      <w:r>
        <w:t>Erwägungen</w:t>
      </w:r>
    </w:p>
    <w:p>
      <w:r>
        <w:rPr>
          <w:b/>
        </w:rPr>
        <w:t>E. 11</w:t>
      </w:r>
    </w:p>
    <w:p>
      <w:r>
        <w:t>weiteres erkennbare geldwerte Leistungen erbracht werden, ohne dass die Verrechnungssteuer spontan deklariert und entrichtet würde (Beusch, a.a.O., Rz. 11; unter anderem mit Verweis auf ASA 55 S. 285 E. 2b). bb. Vorgeworfene Tathandlung stellte im vorliegenden Fall (gemäss Art. 61 Bst. a VStG) namentlich das Nichteinreichen der Abrechnung an die ESTV und das Nichtbezahlen der Steuer bei deren Fälligkeit dar (Art. 38 Abs. 2 in Verbindung mit Art. 16 und 12 VStG), wobei die Fälligkeit bei den übrigen Kapitalerträgen 30 Tage nach Entstehung der Steuerforderung eintritt (oben E. 2b; Art. 16 Abs. 1 Bst. c VStG und Art. 21 Abs. 2 VStV). Die Fälligkeiten der Steuer betreffend die fraglichen geldwerten Leistungen sind aus der Aufstellung im Einspracheentscheid (Ziff. 5.2, S. 14 f.) ersichtlich (Datum «Zinsenlauf»). Die Steuern betreffend die letzte geldwerte Leistung waren laut dieser Aufstellung am 3. April 1997 fällig geworden. Dasselbe ergibt sich aus den Akten (siehe Beilagen ESTV Bel. 29a: Betrag von Fr. 970’783.30), wonach diese steuerbare Leistung am 3. März 1997 und somit die Steuer am 3. April 1997 fällig geworden war. An diesem Tag hätten die Deklaration und die Ablieferung der Steuer vorgenommen werden müssen und es handelt sich dabei um den Zeitpunkt der deliktischen Handlung (oben E. 3c/bb). Die Verjährungsfrist begann für die letzte Steuerforderung somit grundsätzlich am 3. April 1997 zu laufen. Nachdem kein Strafverfahren gegen den Beschwerdeführer eingeleitet und somit keine Unterbrechungshandlung nach aArt. 72 Ziff. 2 Abs. 1 StGB erfolgte (oben E. 3c/ bb), wurde die relative Verjährungsfrist nie unterbrochen und die 5-jährige, relative Verjährungsfrist ist längst abgelaufen (betreffend letzte geldwerte Leistung Anfang April 2002). Zudem ist im heutigen Zeitpunkt auch die absolute Verjährung gemäss Art. 11 Abs. 2 VStrR (Frist von siebeneinhalb Jahren, oben E. 2d) dieser Steuerforderungen eingetreten; bezüglich der letzten geldwerten Leistung Anfang Oktober 2004. Es stellt sich allerdings - bezüglich des Beginns der Verjährung - die Frage, ob weitere deliktische Handlungen vorgenommen wurden, welche die Beendigung oder Vollendung der Steuerhinterziehung bezweckten und somit für den Beginn des Laufs der Verjährungsfrist massgeblich wären. So hatte das Bundesgericht in einem Fall der Hinterziehung von Verrechnungssteuern (bereits zitiertes Urteil in: ASA 56 S. 208, E. 5) auf die Einreichung einer (unrichtigen) Bilanz und Erfolgsrechnung bei der ESTV abgestellt, welche dazu gedient hätten, die durch die nicht vollzogene Deklaration und Leistung des Steuerbetrages in die Wege geleitete Steuerhinterziehung zu vollenden. Vorliegend ist aus den Akten nicht ersichtlich, ob bzw. wann die B. AG Eingaben an die ESTV vorgenommen hat, aus welchen die geldwerten Leistungen nicht korrekt ersichtlich waren (z. B. unrichtige Jahresabschlüsse; siehe ASA 56 S. 208, E. 5). Selbst unter der Annahme, dass erst Ende 1998 ein Abschluss des Jahres 1997 eingereicht worden wäre und der Beginn des Laufs der Verjährungsfrist auf Ende 1998 zu datieren wäre, würde sich am Ergebnis der eingetretenen Verjährung allerdings nichts ändern. Die relative Verjährung wäre dann Ende 2003 abgelaufen und (da kein Strafverfahren eingeleitet worden ist) nie unterbrochen worden. Damit wären sämtliche vorliegend von der ESTV gegenüber dem Beschwerdeführer geltend gemachten Forderungen auch unter dieser Annahme im heutigen Zeitpunkt</w:t>
      </w:r>
    </w:p>
    <w:p>
      <w:r>
        <w:rPr>
          <w:b/>
        </w:rPr>
        <w:t>E. 12</w:t>
      </w:r>
    </w:p>
    <w:p>
      <w:r>
        <w:t>längst relativ verjährt. Überdies wären die Forderungen aus den Jahren 1995 und 1996 (unter der Annahme, dass für das Jahr 1996 die [unrichtigen] Abschlüsse erst Ende 1997 eingereicht worden wären) auch absolut verjährt. cc. Offen gelassen werden kann vorliegend die Frage eines allfälligen Ruhens der Verjährung gemäss Art. 11 Abs. 3 VStrR während der Dauer eines Einsprache‑, Beschwerde- oder gerichtlichen Verfahrens über die Leistungs- oder Rückleistungspflicht oder über eine andere nach dem einzelnen Verwaltungsgesetz zu beurteilende Vorfrage (vgl. oben E. 2d). Selbst wenn das Rechtsmittelverfahren im Zusammenhang mit der Nachforderung gegen den Beschwerdeführer die Verjährung ebenfalls zum Ruhen zu bringen vermöchte (was abzuklären bliebe), wäre die Verjährung im vorliegenden Fall nicht zum Stillstand gekommen, denn zum Zeitpunkt der Erhebung der Einsprache durch den Beschwerdeführer am 19. Mai 2004 (Beginn eines allfälligen Stillstandes gemäss Art. 11 Abs. 3 VStrR) wäre die relative Verjährungsfrist von 5 Jahren - welche nie unterbrochen worden ist - auf jeden Fall bereits abgelaufen gewesen. e. Das neue Verjährungsrecht des StGB (oben E. 2e) ist nach Art. 337 Abs. 1 StGB nur anwendbar, wenn es das mildere ist (« lex mitior», vgl. auch Art. 2 Abs. 2 StGB); andernfalls ist das alte Verjährungsrecht anwendbar. Da nach dem soeben Gesagten (E. 3d) unter Anwendung des alten Verjährungsrechts die Verjährung ohnehin eingetreten ist, erübrigt sich grundsätzlich die Frage, wie es sich nach neuem Recht verhalten würde bzw. ob das alte oder das neue Recht das mildere sei. f. Es ergibt sich damit, dass alle geltend gemachten Verrechnungssteuerforderungen gegenüber dem Beschwerdeführer für die in den Jahren 1995 bis 1997 erbrachten angeblichen geldwerten Leistungen im heutigen Zeitpunkt verjährt sind. Aus diesem Grunde ist die Beschwerde gutzuheissen und der angefochtene Einspracheentscheid ist aufzuheben. Bei diesem Ergebnis erübrigt es sich, die weiteren aufgeworfenen Fragen, nämlich ob die B. AG der Verrechnungssteuer unterliegende geldwerte Leistungen erbracht hat sowie ob Empfänger dieser allfälligen geldwerten Leistungen der Beschwerdeführer war, zu prüfen. (...)</w:t>
      </w:r>
    </w:p>
    <w:p>
      <w:r>
        <w:rPr>
          <w:b/>
        </w:rPr>
        <w:t>E. 13</w:t>
      </w:r>
    </w:p>
    <w:p>
      <w:r>
        <w:t>Schweizerisches Bundesarchiv, Digitale Amtsdruckschriften Archives fédérales suisses, Publications officielles numérisées Archivio federale svizzero, Pubblicazioni ufficiali digitali JAAC 70.60 - Auszug aus dem Entscheid SRK 2004-197 der Eidgenössischen Steuerrekurskommission vom 25. November 2005 In Verwaltungspraxis der Bundesbehörden Dans Jurisprudence des autorités administratives de la Confédération In Giurisprudenza delle autorità amministrative della Confederazione Jahr 2006 Année Anno Band 70 Volume Volume Seite --- Page Pagina Ref. No 150 007 376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