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69.78 vom 18. März 2005</w:t>
      </w:r>
    </w:p>
    <w:p>
      <w:r>
        <w:t>Bundesverwaltung, 2005-03-18, DE</w:t>
      </w:r>
    </w:p>
    <w:p>
      <w:r>
        <w:rPr>
          <w:b/>
        </w:rPr>
        <w:t xml:space="preserve">Quelle: </w:t>
      </w:r>
      <w:r>
        <w:t>https://mcp.opencaselaw.ch/entscheid/ch_vb_JAAC_69.78__</w:t>
      </w:r>
    </w:p>
    <w:p>
      <w:r>
        <w:t>FR: CH_VB JAAC 69.78 du 18 mars 2005</w:t>
      </w:r>
    </w:p>
    <w:p>
      <w:r>
        <w:t>IT: CH_VB JAAC 69.78 del 18 marzo 2005</w:t>
      </w:r>
    </w:p>
    <w:p>
      <w:pPr>
        <w:pStyle w:val="Heading2"/>
      </w:pPr>
      <w:r>
        <w:t>Erwägungen</w:t>
      </w:r>
    </w:p>
    <w:p>
      <w:r>
        <w:rPr>
          <w:b/>
        </w:rPr>
        <w:t>E. 1</w:t>
      </w:r>
    </w:p>
    <w:p>
      <w:r>
        <w:t>Présentation d’un engagement ferme d’achat de votre plantation G. à C;</w:t>
      </w:r>
    </w:p>
    <w:p>
      <w:r>
        <w:rPr>
          <w:b/>
        </w:rPr>
        <w:t>E. 2</w:t>
      </w:r>
    </w:p>
    <w:p>
      <w:r>
        <w:t>Engagement signé par vous de faire directement verser au Fonds Z. 55% du produit de la vente de G. par l’acheteur de la plantation;</w:t>
      </w:r>
    </w:p>
    <w:p>
      <w:r>
        <w:rPr>
          <w:b/>
        </w:rPr>
        <w:t>E. 3</w:t>
      </w:r>
    </w:p>
    <w:p>
      <w:r>
        <w:t>Engagement signé par vous du respect du plan de restructuration dans son intégralité; 10</w:t>
      </w:r>
    </w:p>
    <w:p>
      <w:r>
        <w:rPr>
          <w:b/>
        </w:rPr>
        <w:t>E. 4</w:t>
      </w:r>
    </w:p>
    <w:p>
      <w:r>
        <w:t>Engagement signé par vous de respecter le nouvel échéancier de remboursement de la dette au Fonds Z. de x A.-Francs plus intérêts, ramené à 10 mois avec extension de la période de différé de 12 à 17 mois. Über die Erfüllung dieser Bedingungen kam es zu Differenzen zwischen der Y. und dem Fonds Z. und der zweite Kredit kam nicht zur Auszahlung. Ebenfalls verlangte der Z. die Rückzahlung des ersten Kredites. Nach Angaben des Beschwerdeführers musste die Y. im Jahre 2000 ihre Geschäftstätigkeit einstellen (…). Zur Begründung seines Schadenersatzbegehrens bzw. der Widerrechtlichkeit beruft sich der Beschwerdeführer auf zahlreiche Grundlagen, zu welchen im Folgenden Stellung zu nehmen ist. a.aa. Der vom Beschwerdeführer geltend gemachte Schaden, nämlich seine Vermögenseinbusse aufgrund des Konkurses der Firma Y., ist offensichtlich ein Vermögensschaden im Rechtssinne. Die Ausführungen des Beschwerdeführers, wonach auch absolute Rechtsgüter verletzt worden seien, sind nicht stichhaltig. Eine Verletzung eines absolut geschützten Rechtsgutes liegt nur vor, wenn mit dem vorgeworfenen Verhalten in das fragliche Rechtsgut (z. B. beim Eigentum die Wegnahme, Zerstörung, Beschädigung der Sache) eingegriffen wird (vgl. Vito Roberto, Schweizerisches Haftpflichtrecht, Zürich 2002, N. 129). Der Beschwerdeführer führt nicht aus, welche Handlungen in solcher Weise direkt in sein Eigentum bzw. in seine Mitgliedschaftsrechte eingegriffen hätten. Er macht geltend, er habe durch die Kreditzusage (…) und «Forderungen bzw. Weisungen der Antragsgegnerin» den Verlust seines Eigentums sowie der Mitgliedschaft in einer Gesellschaft erlitten (…). Von einem Verhalten, das als Eingriff in das Eigentum des Beschwerdeführers oder dessen Mitgliedschaftsrechte angesehen werden kann, ist nicht die Rede. Insbesondere ist nicht ersichtlich, inwiefern die Tatsache, dass der Beschwerdeführer sein Eigentum in der Schweiz veräusserte, um der Y. unter die Arme zu greifen, ein Eingriff des Fonds Z. in sein Eigentum darstellen sollte. bb. Bei Vermögensschäden ergibt sich die Widerrechtlichkeit aus einer Schutznormverletzung (…). Diesbezüglich ist das Folgende vorauszuschicken: Wenn sich auch vorliegend bisweilen Fragen der Angemessenheit im Umgang der Verantwortlichen des Fonds Z. mit dem Beschwerdeführer und der Y. stellen mögen, muss für das Staatshaftungsrecht im Auge behalten werden, dass (abgesehen davon, dass nur amtliche Tätigkeiten erfasst werden, E. 2b/bb) Widerrechtlichkeit vorausgesetzt wird und unangemessenes Handeln der Bundesorgane ohne qualifizierende Umstände wie die Verletzung einer Amtspflicht, Ermessensmissbrauch oder -überschreitung oder die Verletzung abgegebener Zusicherungen unter dem Gesichtspunkt von Treu und Glauben diese Widerrechtlichkeit gerade nicht zu begründen vermag. Hauptsächlich geht es beim vorliegenden Schadenersatzgesuch um die Nichtauszahlung eines Kredits. Ein rechtswidriges Verhalten kann bei der Verweigerung eines Kredits von vornherein nur dann in Betracht kommen, wenn auf den Kredit ein Rechtsanspruch besteht. Dies ist vorliegend indes offensichtlich nicht der Fall (…). Die Organisation der Entwicklungszusammenarbeit über die Vergabe von Finanzbeihilfen schliesst von vorneherein aus, dass ein Anspruch 11</w:t>
      </w:r>
    </w:p>
    <w:p>
      <w:r>
        <w:t>auf finanzielle Unterstützung entstehen kann. Den Vollzugsorganen des Z. kommt bei der Umschreibung der Anforderungen an die Kreditgewährung ein entsprechend grosser Ermessensspielraum zu. b. Der Beschwerdeführer macht unter Berufung auf den Vertrauensschutz namentlich geltend, der Zusatzkredit sei ihm zugesichert worden. Er erwähnt Äusserungen des Schweizer Botschafters und «Kreditzusagen» des Fonds Z., wobei damit namentlich die beiden Schreiben des Z. an die Y. vom 3. September und 12. Oktober 1999 (…) angesprochen zu sein scheinen. aa. Der Beschwerdeführer behauptet, T., der Schweizer Botschafter in der A., - ebenfalls Mitglied des «Conseil» des Z. - habe die Auszahlung des Kredits fest zugesagt. Die Aussagen und Erklärungen des Schweizer Botschafters seien auch als Bürgschaftserklärung bzw. Garantieerklärungen zu werten. In den der Rekurskommission bekannten Unterlagen ist keine schriftliche Äusserung des Botschafters zu finden, die als Zusicherung anzusehen wäre. Das Schreiben von Botschafter T. an die Bank (…) vom 17. September 1999 enthält lediglich die Bestätigung an diese, dass das Kreditbegehren der Y. geprüft werde, sowie die Präzisierung, dass die Chancen einer Gutsprache gut stünden und die Summe unter gewissen Bedingungen ausbezahlt werde (…). Von einer Zusicherung kann offensichtlich keine Rede sein, erst recht nicht von einer Bürgschafts- bzw. Garantieerklärung. An der Verhandlung vom 28. Februar 2005 beruft sich der Beschwerdeführer zusätzlich auf eine mündliche Zusage, welche Anfang Oktober 1999 (zwischen den beiden Schreiben des Z. vom 3. September und vom 12. Oktober 1999) gemacht worden sei. Der Botschafter habe ihm gegenüber versichert, dass der Zusatzkredit «sowieso kommen werde» und habe deswegen die sofortige Auszahlung von (…) Dollar durch die Bank veranlasst (…). Diese Zusicherung ist jedoch nicht nachgewiesen. Zudem war die Äusserung wie sie der Beschwerdeführer behauptet zu vage und zu wenig bestimmt, um eine Vertrauensbasis zu bilden (vgl. Ulrich Häfelin/Georg Müller, Allgemeines Verwaltungsrecht, 4. Aufl., Zürich 2002, Rz. 669). Dass der Botschafter zugesichert habe, der Kredit werde bedingungslos zur Auszahlung kommen, macht der Beschwerdeführer nicht geltend. Ebenfalls hätte der Beschwerdeführer die Unrichtigkeit der Auskunft (insofern als der Botschafter überhaupt einen Kredit ohne Bedingungen zugesichert hätte) erkennen können. Nachdem er das erste Schreiben des «Comité» des Fonds Z. vom 9. September 1999 zum fraglichen Zeitpunkt bereits erhalten hatte, wusste er, dass der Kredit noch unter gewissen Vorbehalten, namentlich der Zustimmung des «Conseil», stand. Ebenso ist die Zuständigkeit des Botschafters, als einzelnes Mitglied des entscheidbefugten «Conseil» des Z. solche Zusicherungen verbindlich abgeben zu dürfen, in Zweifel zu ziehen. bb. Die Schreiben des «Comité technique» des Z. vom 3. September 1999 bzw. des «Conseil» vom 12. Oktober 1999 an die Y. enthalten beide die (klar formulierte) Information, dass der Kredit bewilligt werden könne, aber unter verschiedenen Vorbehalten stehe. Das erste Schreiben kann schon deswegen nicht als Zusicherung des Kredits gelten, weil noch die Zustimmung des «Conseil» ausstehend war; zudem war noch eine weitere Bedingung aufgestellt. Im zweiten Schreiben - diesmal des «Conseil» des Z. - vom 12. Oktober 1999 wird die Auszahlung des Kredits an vier Bedingungen geknüpft (Aufzählung siehe oben E. 4). Dass die Kreditgutsprache von der Erfüllung gewisser 12</w:t>
      </w:r>
    </w:p>
    <w:p>
      <w:r>
        <w:t>Bedingungen abhängig gemacht war, stellt auch der Beschwerdeführer nicht (mehr) in Abrede (…). Eine Zusicherung bzw. Auskunft kann jedoch (…) nur Vertrauensgrundlage bilden, wenn sie vorbehaltlos abgegeben worden ist. cc. Die Kreditgutsprache, welche wie vorliegend noch von einer - von Seiten des Kreditnehmers zu erfüllenden - Voraussetzung abhängt, könnte höchstens dann eine Vertrauensgrundlage bilden, wenn die aufgestellten Bedingungen erfüllt worden wären. Der Beschwerdeführer macht denn auch geltend, die Y. habe die fraglichen vier Bedingungen durchaus erfüllt gehabt. Diese Darstellung ist aber bereits aufgrund des Schreibens der Y. vom 5. November 1999 an den Z. in Zweifel zu ziehen, worin die Y. mit Bezugnahme auf das Schreiben vom 12. Oktober bedauert, die darin erwähnten Bedingungen 1 und 4 nicht erfüllen zu können und dem Z. deshalb neue Modalitäten für einen Kredit an die Y. vorschlägt (…). Dass dieser Brief, wenn auch von ihm unterschrieben, nicht vom Beschwerdeführer selbst aufgesetzt worden sei und dass es sich bloss um einen Entwurf gehandelt habe, welcher gar nicht an den Z. hätte gelangen sollen (…), ändert nichts daran, dass es sich um eine dem Beschwerdeführer zuzurechnende Erklärung handelt, welche wie gesagt mit seiner späteren Behauptung in der Beschwer­de in Widerspruch steht. Im Übrigen halten auch die Erläuterungen, mit denen der Beschwerdeführer die Erfüllung der Auflagen nachweisen möchte, einer näheren Überprüfung nicht stand: Der Beschwerdeführer macht geltend, es habe ein Kaufangebot über z A.-Francs für die Plantage G. vorgelegen (…), womit Bedingung Nr. 1 erfüllt gewesen sei. Der Kaufspreis von z A.-Francs lag jedoch weit unter dem im Restrukturierungsplan vorgesehenen Erlös für die Plantage von x A.-Francs, womit wiederum Bedingung Nr. 3, die Einhaltung des Restrukturierungsplans, nicht eingehalten wurde (…). Dass der Restrukturierungsplan auf einem Verkaufswert von x A.-Francs für die fragliche Plantage basierte, ergibt sich im Übrigen aus beiden der HRK vorliegenden Versionen dieses Plans (…); der Behauptung des Beschwerdeführers, dass der Restrukturierungsplan inklusive Begleitschreiben in seinem Namen (…) gefälscht worden sei, braucht deshalb nicht weiter nachgegangen zu werden. Ebenfalls nicht erheblich ist der Umstand, dass nicht die Y. selbst den Restrukturierungsplan erstellt, sondern nur die zu berücksichtigenden Zahlen geliefert habe. Immerhin hat der Beschwerdeführer sich offenbar mit dem («richtigen») fertig gestellten Plan einverstanden erklärt; ebenso scheint der Wert von x A.-Francs für die Plantage wenigstens zu einem bestimmten Zeitpunkt auch tatsächlich korrekt gewesen zu sein (…). Nachdem das Kaufangebot über z A.-Francs dem Restrukturierungsplan ohnehin nicht genügte, muss auch dem Vorwurf des Beschwerdeführers nicht nachgegangen werden, dass Vertreter des Z. (namentlich der «Secrétaire Exécutif» sowie die Herren R. und Q., Mitglieder des «Comité») die Verkaufsverhandlungen mit der E. «vereitelt» hätten, indem sie vorgegeben hätten, es bestehe ein fiktives Angebot eines amerikanischen Interessenten über (…) Dollar (ungefähr x A.-Francs; …). Eine ganz andere - vom Beschwerdeführer allerdings bestrittene - Erklärung dazu, weswegen der Verkauf an die E. nicht zustande gekommen ist, ergibt sich im Übrigen aus dem Schreiben des Beschwerdeführers vom 5. November 1999 an den Z. (…). 13</w:t>
      </w:r>
    </w:p>
    <w:p>
      <w:r>
        <w:t>Zusammenfassend ist festzuhalten, dass die Vorgänge rund um die Kaufangebote der E. sowie des (fiktiven) amerikanischen Interessenten weitgehend im Dunkeln geblieben sind. Vorliegend allein relevant ist jedoch, dass die Y. die im Schreiben vom 12. Oktober 1999 festgelegten vier Bedingungen nicht alle erfüllt hat und somit dieses Schreiben nicht als Vertrauensgrundlage angesehen werden konnte, die einen Anspruch des Beschwerdeführers auf Auszahlung des Kredits begründet hätte (vgl. auch oben E. 4a/bb). Namentlich ist es dem Beschwerdeführer nicht gelungen, darzulegen, dass von Seiten des Z. aktiv die Erfüllung der genannten Bedingungen verhindert worden wäre. Die geltend gemachten Fälschungen des Restrukturierungsplanes sind nicht annähernd belegt, ja nicht einmal glaubhaft gemacht. Ebenso wurden im Zusammenhang mit der «Vereitelung» des Kaufsangebots keine anderweitigen rechtswidrigen Handlungen im haftungsrechtlichen Sinne aufgezeigt. c. Die Tatsache, dass der Zusatzkredit nicht ausbezahlt worden ist, beruhte nach dem Gesagten auf der Tatsache, dass die vier aufgestellten Bedingungen von der Y. nicht erfüllt wurden. Der Beschwerdeführer beschwert sich darüber, dass die Bedingungen «aus heiterem Himmel» gekommen seien und vorher nicht abgemacht gewesen seien. Zudem seien die vier (besonders die vierte) Bedingungen, rechtswidrig gewesen. Wie bereits ausgeführt (vgl. oben E. 4a/bb), stand es dem Fonds Z. im Rahmen seines recht grossen Ermessens frei, für die Gewährung eines neuen Kredits Bedingungen aufzustellen, z. B. die Rückzahlungsfristen des älteren Kredits vorzuverlegen. Selbst eine allfällige Unangemessenheit der Auflagen vermöchte keine Rechtswidrigkeit im haftungsrechtlichen Sinne zu begründen, nötig wäre ein qualifizierter Ermessensfehler (Ermessensmissbrauch oder -über­schreitung) oder eine andere Rechtswidrigkeit bzw. Amtspflichtverletzung (E. 4a/bb); solches ist vorliegend allerdings nicht zu sehen. Im Übrigen ist - im Hinblick auf die Angemessenheit - festzustellen, dass es nicht weiter ungewöhnlich ist, eine Kreditzusage an bestimmte, vom Kreditgeber diktierte Bedingungen zu knüpfen. Ebenso wären die neuen Modalitäten betreffend den ersten Kredit einzig im Falle des Abschlusses eines neuen Kreditvertrages zur Anwendung gelangt und wurden somit nicht aufgezwungen. Angesichts der problematischen finanziellen Lage der Y. ist es überdies nachvollziehbar, dass der Zusatzkredit nur unter strengen Auflagen gewährt werden sollte. d. Der Beschwerdeführer ist sodann der Meinung, dass der Z. den ersten Kredit zu Unrecht bzw. vertragswidrig gekündigt habe. Nachdem die Y. selbst im Schreiben vom 5. November 1999 (…) die Nichterfüllung der Bedingungen für den Zusatzkredit festgestellt hatte, forderte der Z. diese zur Rückzahlung des ersten Kredits entsprechend einem «tableau d’amortisse­ment» auf. Laut Schreiben des Z. vom 24. Januar 1999 [recte: 2000] habe die Y. sich treuwidrig verhalten und mehrmals mit zweifelhaften Mitteln versucht, auf den Z. Druck auszuüben. Als Konsequenz habe der Z. (unter anderem) beschlossen, dass die nötigen Massnahmen zu ergreifen seien, um die sofortige Rückzahlung der ausbezahlten Beträge des ersten Kredits zu erreichen (…). Es ist davon auszugehen (…), dass der erste Kredit vorzeitig zurückgefordert wurde, weil die Y. ihren vertraglichen Verpflichtungen nicht nachgekommen war. Der erste Kreditvertrag enthält verschiedene Tatbestände, welche den Z. zur vorzeitigen Kündigung ermächtigen (siehe S. 4 Kreditvertrag, […], z. B. Nichterfüllung einer Verpflichtung aus dem Vertrag usw.). Die Rückforderung 14</w:t>
      </w:r>
    </w:p>
    <w:p>
      <w:r>
        <w:t>erscheint folglich als mit dem Vertrag vereinbar. Der Beschwerdeführer vermag nicht nachzuweisen oder zumindest plausibel zu erläutern, dass der Kredit aus einem ungültigen Grund gekündigt wurde. Die Vertragskonformität der Kündigung muss ohnehin nicht abschliessend geprüft werden, da auch eine vertragswidrige frühzeitige Rückforderung eines gewährten Kredits und die darauf folgende Betreibung noch keine Widerrechtlichkeit im haftpflichtrechtlichen Sinne begründen würde. Eine Amtspflichtverletzung hat der Beschwerdeführer in diesem Zusammenhang nicht geltend gemacht und eine solche ist auch nicht ersichtlich. e. Als weitere verletzte Schutznorm nennt der Beschwerdeführer eine Bestimmung des Abkommens vom 26. Juni 1962 über den Handelsverkehr, den Investitionsschutz und die technische Zusammenarbeit zwischen der Schweizerischen Eidgenossenschaft und der Republik A., in welcher es um die Entschädigungspflicht von Eingriffen in Eigentum und Besitz von Angehörigen der Vertragsparteien geht. Wie gesagt (E. 4a/aa), wurde vorliegend nicht in solche absolut geschützte Rechtsgüter eingegriffen. Abgesehen davon gilt für die Haftung der Schweiz für den angeblichen Schaden eines Schweizers ohnehin die (weitergehende) schweizerische Rechtsordnung, die genannte Norm braucht nicht herangezogen zu werden. f. Der Beschwerdeführer sieht sich in seiner Ehre und seiner Persönlichkeit verletzt, da der «Secrétaire Exécutif» des Z. ehrverletzende und ruf­schädigende Äusserungen gemacht und dem Beschwerdeführer Vermögensdelikte vorgeworfen habe. Abgesehen davon, dass diese Behauptungen nicht belegt sind, haftet die Schweiz ohnehin nicht für Handlungen solcher Art der nichtschweizerischen Vertreter des Z. Diese ehrverletzenden Äusserungen stehen in keinerlei Zusammenhang mit einer öffentlichen und erst recht nicht einer amtlichen Aufgabe der Schweiz (oben E. 2b). Diese Ehr- und Persönlichkeitsverletzungen stehen zudem offensichtlich nicht in einem kausalen Zusammenhang mit dem geltend gemachten Schaden. Die vom Beschwerdeführer gegenüber dem Z. bzw. dessen Organen und Vertretern erhobenen Vorwürfe erweisen sich insgesamt als nicht begründet, diese haben sich keine widerrechtlichen Handlungen bzw. Pflichtverletzungen zu Schulden kommen lassen. g. Der Beschwerdeführer rügt die Verletzung der Aufsichtspflicht durch die DEZA sowie «Struktur-, Design- und Organisationsfehler» beim Z. Eine Verletzung der Sorgfaltspflicht durch die DEZA bei der Ausübung der Aufsicht (vgl. Jost Gross, a.a.O., S. 277) ist vom Beschwerdeführer jedoch weder nachgewiesen noch (auch nur annähernd) glaubhaft gemacht und nicht ersichtlich. Dass es bezüglich der Nichtauszahlung des zweiten bzw. der Rückforderung des ersten Kredits zu keinen konkreten Pflichtverletzungen des Z. bzw. speziell der Schweizer Delegierten gekommen ist, wurde bereits dargetan. Damit ist (mangels konkreter Vorhalte) ebenfalls nicht zu sehen, inwiefern die DEZA ihre Aufsichtspflicht verletzt haben sollte. Es kann offen gelassen werden, ob der DEZA überhaupt eine «Aufsichtsfunktion» gegenüber dem - gewerblich tätigen - Z. als Organisation zukommt und - falls ja - welchen Umfangs diese wäre. Der Beschwerdeführer scheint auf das Institut der «Organisationshaftung» zu verweisen, bei welchem es um die Haftung aufgrund mangelnder Organisation, Betriebsabläufe, 15</w:t>
      </w:r>
    </w:p>
    <w:p>
      <w:r>
        <w:t>Aufsicht usw. des Staatsapparates in Abgrenzung zur Haftung aufgrund fehlerhaften Verhaltens eines einzelnen Beamten geht. Auch diese Haftung setzt eine Pflichtverletzung der Verwaltung gegenüber dem Bürger voraus, nämlich die Fehlorganisation, welche die Rechtswidrigkeit begründet. Anstatt individueller Amtspflichtverletzungen werden Organisationsfehler vorausgesetzt (Jost Gross, a.a.O., S. 256 ff., 268, 280 f.; vgl. zur Unterlassung staatlicher Aufsicht als Aspekt der Organisationshaftung: S. 275 ff.). Worin die Fehlorganisation bestanden haben soll, wird vom Beschwerdeführer nicht näher ausgeführt, er begnügt sich mit vagen Andeutungen. Der einzige behauptete Organisationsmangel, nämlich, dass die Herren R. und Q. gleichzeitig Kreditnehmer und Vertreter im «Comité» des Z. gewesen seien, erweist sich für das vorliegende Schadenersatzgesuch und die Verweigerung des Kredits als unerheblich und ist zudem nicht belegt worden (vgl. auch E. 4b/cc). Auch der Vorwurf der Korruption, das Vorhandensein von Korruptionstatbeständen, ist nicht näher ausgeführt und in keiner Weise glaubhaft gemacht worden. Erst recht wurde im Übrigen nicht vorgebracht, inwiefern eine allfällige Fehlorganisation bzw. Korruption im Sinne der Kausalität schliesslich zu dem vom Beschwerdeführer geltend gemachten Schaden ge­führt haben soll. Auch der Hinweis auf die Konzernhaftung kann dem Beschwerdeführer nicht weiterhelfen. Die Konzernhaftung - welche ebenfalls eine Erscheinungsform der Vertrauenshaftung darstellt - kann zwar grundsätzlich auch im Verhältnis zum Staat zur Anwendung kommen, dies allerdings nur im Bereich des dem Zivilrecht unterstehenden gewerblichen Handelns des Staates (Art. 61 Abs. 2 OR), nicht jedoch im Rahmen der Haftung nach Verantwortlichkeitsgesetz (Wiegand/Wichtermann, a.a.O., S. 13 f.). Wollte sich der Beschwerdeführer auf die Konzernhaftung berufen, müsste er den zivilrechtlichen Weg begehen. h. Nachdem es im vorliegenden Fall an einer rechtswidrigen Handlung mangelt, erübrigt sich die Prüfung der übrigen Haftungsvoraussetzungen der Kausalität und des Schadens. Es kann jedoch angemerkt werden, dass auch die Adäquanz zwischen den verschiedenen vorgeworfenen angeblichen Pflichtverletzungen und dem geltend gemachten Schaden, nämlich den Verlusten aus dem Konkurs der Y., äusserst fraglich wäre.</w:t>
      </w:r>
    </w:p>
    <w:p>
      <w:r>
        <w:rPr>
          <w:b/>
        </w:rPr>
        <w:t>E. 5</w:t>
      </w:r>
    </w:p>
    <w:p>
      <w:r>
        <w:t>Der Beschwerdeführer hat zahlreiche Beweismittel angeboten, namentlich Zeugeneinvernahmen von Botschafter T., den beiden Vertretern der A. im «Conseil», der Assistentin des Generalsekretärs usw. In der Replik (…) stellt der Beschwerdeführer sodann den formellen Beweisantrag, sämtliche Kreditvergabeunterlagen des Z. der Jahre 1999 und 2000 seien zu edieren und allenfalls seien «weitere Unterlagen seitens der O. AG und ihre Tochtergesellschaften zu fordern». Ebenfalls wurde (vgl. auch Anträge auf vorsorgliche Massnahmen) verlangt, dass - wo in den Verfahrensakten nur Kopien vorhanden waren - die Originalunterlagen zu edieren seien. Der Beschwerdeführer stellt ebenfalls verschiedene Anträge auf Erlass vorsorglicher Massnahmen, so die Erwirkung der Herausgabe von Originalunterlagen bei DEZA, Staatssekretariat für Wirtschaft (seco), der Schweizerischen Botschaft in B. und beim Fonds Z. Weiter verlangt der Beschwerdeführer die Einstellung jeglicher Zahlungen an den Z. durch die Eidgenossenschaft, die allgemeine Untersuchung der Mittelverwendung des Z. an der A. und der Schweiz sowie diejenige der DEZA zugunsten des Z. Mit Eingabe vom 2. Februar 2005 lässt der Beschwerdeführer die folgenden 16</w:t>
      </w:r>
    </w:p>
    <w:p>
      <w:r>
        <w:t>weiteren Anträge auf Erlass vorsorglicher Massnahmen stellen: der DEZA, der Schweizer Botschaft in B. und dem Z. sei zu untersagen, das Eigentum der Y. und des Beschwerdeführers in der A. zu veräussern, eventualiter seien die Beamten der genannten Stellen anzuweisen, die Veräusserung zu unterlassen bzw. zu verhindern. a. Die Beweisanerbieten einer Partei sind von einer Behörde zu berücksichtigen, wenn diese zur Abklärung des Sachverhalts tauglich erscheinen. Sind Tatsachen überdies bereits aus den Akten genügend ersichtlich, ist die Behörde nicht gehalten, Beweise abzunehmen (André Moser, in Moser/Uebersax, Prozessieren vor eidgenössischen Rekurskommissionen, Basel und Frankfurt am Main 1998, Rz. 3.65 f.). Angebotene Beweismittel - so auch Auskünfte von Zeugen - dürfen übergangen werden, falls die antizipierte Beweiswürdigung ergibt, dass die angebotenen Beweise unerheblich sind. Insbesondere ist dies der Fall, sofern angenommen werden kann, dass die Durchführung des Beweises im Ergebnis nichts ändern wird. Bei der Beurteilung der Tauglichkeit eines Beweismittels kommt der entscheidenden Instanz ein gewisser Ermessensspielraum zu (BGE 124 I 208 E. 4a, BGE 122 II 464 E. 4a mit Hinweisen; Moser, a.a.O., Rz. 3.68). 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 h. es muss sich als notwendig erweisen, die fraglichen Vorkehren sofort zu treffen.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(BGE 130 II 155 E. 2.2, BGE 127 II 138 E. 3 mit Hinweisen). b. Im vorliegenden Fall erweisen sich etliche Ausführungen und dazugehörige Beweisofferten des Beschwerdeführers als für die zu prüfenden Punkte offensichtlich nicht entscheidrelevant (vgl. auch die konkreten Ausführungen zu den verschiedenen angebotenen Beweismitteln in den E. 4a/aa, 4b/bb, 4b/cc, 4d usw.). Dies gilt namentlich für die (allgemeine) Erforschung der Mittelverwendung des Z. bzw. der DEZA zu Gunsten des Z. (Anträge um vorsorgliche Massnahmen; …). Die Relevanz von Unterlagen der O. AG wurde gar nicht begründet und ist nicht ersichtlich. Diesen Beweisofferten ist von vornherein nicht stattzugeben. Wo Beweise über für den vorliegenden Fall relevante Tatsachen angeboten wurden, ergibt die antizipierte Beweiswürdigung, dass die verlangten Beweiserhebungen keine neuen Erkenntnisse bringen würden. Dem Antrag auf Einvernahme von S. wurde anlässlich der Verhandlung vom 28. Februar 2005 stattgegeben. Betreffend die übrigen Zeugenofferten ist davon auszugehen, dass die mündliche Befragung der vorgeschlagenen Personen 17</w:t>
      </w:r>
    </w:p>
    <w:p>
      <w:r>
        <w:t>nichts anderes ergeben würde, als was die Parteien bereits vorbringen. Es ist nicht ersichtlich, inwieweit die Aussagen der Zeugen den behaupteten Sachverhalt weiter erhärten könnten. Der relevante Sachverhalt kann durch die vorhandenen Akten als genügend erstellt angesehen werden. Das Absehen von Zeugeneinvernahmen und von weiteren Sachverhaltsabklärungen war schon durch das EFD zulässig und blieb es auch im aktuellen Verfahren vor der HRK. Die verlangte Edition von Originalurkunden erübrigt sich ebenfalls, soweit die Unterlagen ohnehin nicht entscheidrelevant sind (zum Restrukturierungsplan vgl. E. 4b/bb). Die Echtheit der Unterlagen hingegen, auf welche der Entscheid sich stützt (insbesondere die beiden Schreiben des Z. an die Y. vom 3. September 1999 und 12. Oktober 1999 sowie das Protokoll des «Conseil» vom 8. Oktober 1999), ist weder ernsthaft in Zweifel zu ziehen, noch vom Beschwerdeführer im Einzelnen bestritten (konkret bestreitet er nur die Echtheit des Restrukturierungsplans), wodurch sich eine Edition der Originale als unnötig erweist. Den entsprechenden Anträgen betreffend vorsorgliche Massnahmen zur Beweissicherung war aus diesem Grund ebenfalls nicht stattzugeben. Den Beweisanträgen bzw. -offerten des Beschwerdeführers wird nicht entsprochen. Der Antrag, die Eidgenossenschaft solle dem Z., seinen Organen und Angestellten keine Zahlungen mehr leisten (vorsorgliche Massnahme), bezweckte die Sicherung der Forderungen des Beschwerdeführers. Das Schadenersatzbegehren richtet sich jedoch gegen die Eidgenossenschaft selbst und nicht gegen den Z., womit die verlangte Massnahme ihr Ziel verfehlt hätte und nicht geeignet gewesen wäre zur Sicherung der Forderung. Dem Antrag war daher nicht stattzugeben. Auch die nachträglich beantragte vorsorgliche Massnahme, der Verkauf von Eigentum der Y. bzw. des Beschwerdeführers sei zu verhindern, wäre nicht geeignet gewesen, die Wirksamkeit des nachfolgend zu erlassenen Entscheids in der Hauptsache sicherzustellen. Wie bemerkt, richtet sich das vorliegende Begehren einzig auf Ausrichtung von Schadenersatz durch die Eidgenossenschaft aus dem Verlust des Beschwerdeführers aus der Liquidation der Y. Im Übrigen ist der Antrag nicht genügend begründet; die Behauptung, es werde Eigentum verwertet, wurde nicht spezifiziert (insbesondere nicht, inwiefern Eigentum des Beschwerdeführers zum Verkauf stehe) und der mit der vorsorglichen Massnahme angestrebte Zweck nicht erläutert. 18</w:t>
      </w:r>
    </w:p>
    <w:p>
      <w:r>
        <w:t>Schweizerisches Bundesarchiv, Digitale Amtsdruckschriften Archives fédérales suisses, Publications officielles numérisées Archivio federale svizzero, Pubblicazioni ufficiali digitali JAAC 69.78 - Entscheid der Eidgenössischen Rekurskommission für die Staatshaftung vom 18. März 2005 [HRK 2004-003] In Verwaltungspraxis der Bundesbehörden Dans Jurisprudence des autorités administratives de la Confédération In Giurisprudenza delle autorità amministrative della Confederazione Jahr 2005 Année Anno Band 69 Volume Volume Seite --- Page Pagina Ref. No 150 007 076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