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69.69 vom 17. Januar 2005</w:t>
      </w:r>
    </w:p>
    <w:p>
      <w:r>
        <w:t>Bundesverwaltung, 2005-01-17, DE</w:t>
      </w:r>
    </w:p>
    <w:p>
      <w:r>
        <w:rPr>
          <w:b/>
        </w:rPr>
        <w:t xml:space="preserve">Quelle: </w:t>
      </w:r>
      <w:r>
        <w:t>https://mcp.opencaselaw.ch/entscheid/ch_vb_JAAC_69.69__</w:t>
      </w:r>
    </w:p>
    <w:p>
      <w:r>
        <w:t>FR: CH_VB JAAC 69.69 du 17 janvier 2005</w:t>
      </w:r>
    </w:p>
    <w:p>
      <w:r>
        <w:t>IT: CH_VB JAAC 69.69 del 17 gennaio 2005</w:t>
      </w:r>
    </w:p>
    <w:p>
      <w:pPr>
        <w:pStyle w:val="Heading2"/>
      </w:pPr>
      <w:r>
        <w:t>Erwägungen</w:t>
      </w:r>
    </w:p>
    <w:p>
      <w:r>
        <w:rPr>
          <w:b/>
        </w:rPr>
        <w:t>E. 6</w:t>
      </w:r>
    </w:p>
    <w:p>
      <w:r>
        <w:t>Publikums vor missbräuchlichen Geschäftspraktiken im Bereich der Mehrwertdienstnummern getroffen werden, als im öffentlichen Interesse liegend anzusehen (vgl. Entscheide vom 20. September 2004, F-2004-61, E. 6.2; vom 15. September 2004, F-2004-69, E. 9.2 sowie vom 4. Mai 2004, F-2004-5, E. 5.4 ff. [REKO/UVEK]). Die von der Vorinstanz erlassenen Nutzungsbedingungen betreffend die Angabe und Darstellung von Preisen dienen dazu, die Konsumentinnen und Konsumenten unmissverständlich darüber zu informieren, welche Kosten durch den Anruf auf eine Mehrwertdienstnummer bzw. durch die Beanspruchung der darüber angebotenen Dienste entstehen können. Gleich wie diese Vorschriften selber liegen auch die Massnahmen, welche zu deren Durchsetzung ergriffen werden, grundsätzlich im öffentlichen Interesse. 8.2. Im Rahmen der Verhältnismässigkeitsprüfung ist als Erstes festzustellen, dass der strittige Nummernwiderruf zur Erreichung des von der Vorinstanz angestrebten Ziels, dem Schutz der Konsumentinnen und Konsumenten, geeignet war. 8.2.1. Die REKO/INUM hat bereits verschiedentlich festgehalten, der Widerruf einer Nummer stelle eine strenge Massnahme dar, weshalb es angebracht sei, zuerst nach milderen Mitteln zu suchen und diese einzusetzen, wenn sie den gleichen Erfolg versprechen (vgl. Entscheid der REKO/INUM vom 15. September 2004, E. 9.3). In Berücksichtigung einer entsprechenden Praxis der Vorinstanz hat die Rekurskommission jeweils ausgeführt, eine weniger einschneidende Massnahme sei etwa die Fristansetzung zur Vornahme von Korrekturmassnahmen oder zum Nachweis, dass beim Betrieb der zugeteilten Nummer alle Vorschriften eingehalten worden seien. Den schlussendlich doch verfügten Widerruf hat die REKO/INUM etwa in den folgenden Fällen als erforderlich und daher verhältnismässig angesehen: So als sich die betroffene Mehrwertdienstanbieterin auf Aufforderung hin nicht vernehmen liess und es weiter zu Konsumentenbeschwerden kam (Entscheid der REKO/INUM vom 15. September 2004), als die Dienstbetreiberin nicht schlüssig aufzeigen konnte, dass die zuvor von der Vorinstanz festgestellten Mängel behoben wurden (Entscheid der REKO/INUM vom 20. September 2004) oder als die Nummerninhaberin zwar die nötigen Korrekturen vornahm, daraufhin aber erneut in der gleichen Weise gegen die Nutzungsbedingungen verstiess (Entscheid der REKO/UVEK vom 4. Mai 2004). Wie in solchen Fällen üblich, hat die betroffene Nummerinhaberin, also die Beschwerdeführerin, auch vorliegend Gelegenheit erhalten, die nötigen Korrekturen vorzunehmen bzw. nachzuweisen, die einschlägigen Regeln seien nicht verletzt worden. Der hier zu beurteilende Fall unterscheidet sich von den soeben erwähnten jedoch dadurch, dass es nach dem Schreiben, mit welchem der Nummernwiderruf angedroht wurde, keine Anzeigen aus dem Publikum mehr gab und auch die Vorinstanz selber keinen Verstoss feststellen konnte. Schwer verständlich ist deshalb, warum die Vorinstanz vorliegend - mehr als zwei Monate - nachdem die erste Frist abgelaufen war, die sie der Beschwerdeführerin gesetzt hatte, ohne weiteres von einem fortwährenden Regelverstoss ausging. Dies umso mehr als, anders als dies typisch ist, hier eine einzige Reklamation das Widerrufsverfahren ausgelöst hatte. Aufgrund des Umstands, dass keine Anzeigen aus dem Publikum bei ihr eingingen, hätte sich für die Vorinstanz vielmehr der Schluss aufgedrängt, die Androhung des Nummernwiderrufs habe Wirkung gezeigt und die Beschwerdeführerin dazu bewogen, die</w:t>
      </w:r>
    </w:p>
    <w:p>
      <w:r>
        <w:rPr>
          <w:b/>
        </w:rPr>
        <w:t>E. 7</w:t>
      </w:r>
    </w:p>
    <w:p>
      <w:r>
        <w:t>vorgeworfenen Mängel zu beheben, zumal vorliegend nicht eindeutig davon ausgegangen werden konnte, dass es überhaupt etwas zu beheben gab. Für die Vorinstanz bestand im Juni 2004, nachdem die erste und bis dahin einzige Anzeige drei Monate zurücklag, somit kein Grund für die strittige Anordnung. Angezeigt wäre es vielmehr gewesen, die betreffende Nummer im Auge zu behalten und bei der Meldung bzw. Feststellung neuerlicher Verfehlungen umgehend zu intervenieren. 8.2.2. Die Vorinstanz hat damit die Grenzen der Verhältnismässigkeit überschritten und gegen das Übermassverbot verstossen. Sie hätte den Besonderheiten, welche den vorliegenden Fall auszeichnen - namentlich was die Beweislage angeht -, besser Rechnung tragen müssen. Speziell zu beachten wäre gewesen, dass sich der Vorwurf, die Beschwerdeführerin habe eine nicht nutzungsbedingungskonforme Kurzmitteilung verschickt, auf bloss eine Anzeige stützt. Da ausserdem andere Hinweise oder Beweise fehlten, hätte die Vorinstanz den (angezeigten) Regelverstoss nicht für einwandfrei erstellt ansehen dürfen. Hinzu kommt, dass die Beschwerdeführerin der Vorinstanz zuvor nicht negativ aufgefallen war und es sich bei einem allfälligen Fehlverhalten also um ein erst- und auch einmaliges gehandelt hätte - Hinweise, welche den gegenteiligen Schluss nahe legen, fehlen. Angesichts all dessen hätte sich die Vorinstanz besondere Zurückhaltung auferlegen müssen, als sie zu entscheiden hatte, wie sie das eröffnete Widerrufsverfahren abschliessen bzw. fortführen sollte. Indem sie den Nummernwiderruf anordnete, griff sie gleich zum härtesten Mittel. Nur weil keine Stellungnahme seitens der Beschwerdeführerin vorlag, durfte sie dies jedenfalls nicht tun. Besonders auch in Anbetracht, dass Mitte Juni 2004 nichts auf einen regelwidrigen Gebrauch der fraglichen Mehrwertdienstnummer hindeutete, erscheint die ergriffene Massnahme unnötig und übertrieben. An der Bewertung der Massnahme als unverhältnismässig ändert auch nichts, dass von der Beschwerdeführerin hätte erwartet werden dürfen, dass sie sich kooperativer gezeigt und in der verlangten Form sachlich Stellung genommen hätte (vgl. E. 6.1 in fine). 8.2.3. Aufgrund dieses Ergebnisses erübrigt es sich zu prüfen, ob der Widerruf für die Beschwerdeführerin zumutbar war. Denn die Massnahme erweist sich bereits deshalb als - insgesamt - unverhältnismässig, weil sie unter den gegebenen Umständen nicht erforderlich war. 8.3. Indem sie die von der Beschwerdeführerin betriebene Mehrwertdienstnummer widerrief, ging die Vorinstanz unverhältnismässig und in einer den Umständen des Einzelfalls nicht gerecht werdenden Weise vor. Ihr Handeln erscheint somit als unangemessen. Die Beschwerde ist deshalb gutzuheissen und die angefochtene Verfügung aufzuheben. (…) [88] Kurzmitteilungsdienste, «Short Message Service» (Anm. der VPB-Redaktion).</w:t>
      </w:r>
    </w:p>
    <w:p>
      <w:r>
        <w:rPr>
          <w:b/>
        </w:rPr>
        <w:t>E. 8</w:t>
      </w:r>
    </w:p>
    <w:p>
      <w:r>
        <w:t>Page d’accueil de la Commission de recours en matière d’infrastructures et d’environnement</w:t>
      </w:r>
    </w:p>
    <w:p>
      <w:r>
        <w:rPr>
          <w:b/>
        </w:rPr>
        <w:t>E. 9</w:t>
      </w:r>
    </w:p>
    <w:p>
      <w:r>
        <w:t>Schweizerisches Bundesarchiv, Digitale Amtsdruckschriften Archives fédérales suisses, Publications officielles numérisées Archivio federale svizzero, Pubblicazioni ufficiali digitali JAAC 69.69 - Auszug aus einem Entscheid der Rekurskommission für Infrastruktur und Umwelt vom 17. Januar 2005 [F-2004-140] In Verwaltungspraxis der Bundesbehörden Dans Jurisprudence des autorités administratives de la Confédération In Giurisprudenza delle autorità amministrative della Confederazione Jahr 2005 Année Anno Band 69 Volume Volume Seite --- Page Pagina Ref. No 150 007 046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