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69.66 vom 14. Januar 2005</w:t>
      </w:r>
    </w:p>
    <w:p>
      <w:r>
        <w:t>Bundesverwaltung, 2005-01-14, DE</w:t>
      </w:r>
    </w:p>
    <w:p>
      <w:r>
        <w:rPr>
          <w:b/>
        </w:rPr>
        <w:t xml:space="preserve">Quelle: </w:t>
      </w:r>
      <w:r>
        <w:t>https://mcp.opencaselaw.ch/entscheid/ch_vb_JAAC_69.66__</w:t>
      </w:r>
    </w:p>
    <w:p>
      <w:r>
        <w:t>FR: CH_VB JAAC 69.66 du 14 janvier 2005</w:t>
      </w:r>
    </w:p>
    <w:p>
      <w:r>
        <w:t>IT: CH_VB JAAC 69.66 del 14 gennaio 2005</w:t>
      </w:r>
    </w:p>
    <w:p>
      <w:pPr>
        <w:pStyle w:val="Heading2"/>
      </w:pPr>
      <w:r>
        <w:t>Erwägungen</w:t>
      </w:r>
    </w:p>
    <w:p>
      <w:r>
        <w:rPr>
          <w:b/>
        </w:rPr>
        <w:t>E. 1</w:t>
      </w:r>
    </w:p>
    <w:p>
      <w:r>
        <w:t>Art. 17 SVAG. Art. 55 und Art. 56 VwVG. - Die aufschiebende Wirkung eines Rechtsmittels bedeutet, dass die im Dispositiv angeordnete Rechtsfolge mit der Eröffnung selbst noch nicht effektiv werden kann, sondern bis zum Beschwerdeentscheid vollständig gehemmt werden soll. Bei negativen Verfügungen, die Begehren auf Begründung oder Änderung von Rechten und Pflichten ablehnen, ist der Suspensiveffekt wirkungslos. Will man die abgelehnte Verfügung trotzdem ganz oder teilweise vorwegnehmen, kann nur eine vorsorgliche Massnahme Abhilfe schaffen (E. 2a). - Bei der Festsetzung der LSVA und dem darauf folgenden Erlassverfahren handelt es sich um zwei unabhängige Verfahren. Die Hemmung der Rechtskraft des negativen Entscheides der Oberzolldirektion über den Erlass könnte an der Rechtslage hinsichtlich der Vollstreckbarkeit der betroffenen LSVA-Forderungen nichts ändern. Die Anordnung der aufschiebenden Wirkung der Beschwerde im Erlassverfahren würde somit keinen Sinn machen. Auf das Gesuch um aufschiebende Wirkung ist nicht einzutreten (E. 3a). - Vorsorgliche Massnahmen (E. 2b). Selbst wenn das Gesuch um aufschiebende Wirkung in ein solches um Anordnung vorsorglicher Massnahmen umzudeuten wäre, müsste dieses Begehren mangels nicht leicht wieder gutzumachenden Nachteils abgewiesen werden (E. 3b). Tassa sul traffico pesante commisurata alle prestazioni (TTPCP). Domanda di condono. Effetto sospensivo. Misure provvisionali. Art. 17 LTTP. Art. 55 e art. 56 PA. - L’effetto sospensivo di un rimedio giuridico significa che la conseguenza giuridica ordinata nel dispositivo non può diventare effettiva con la notifica, ma deve essere completamente bloccata fino alla decisione su ricorso. In caso di decisioni negative, che respingono richieste di costituzione o modifica di diritti e doveri, l’effetto sospensivo non ha alcun effetto. Se si intende tuttavia anticipare in parte o totalmente la decisione rifiutata, si può fare capo unicamente ad una misura provvisionale (consid. 2a). - La fissazione della TTPCP e la susseguente procedura di condono sono due procedure indipendenti. Il blocco della crescita in giudicato della decisione negativa della Direzione generale delle dogane sul condono non potrebbe cambiare nulla riguardo alla situazione giuridica concernente l’esecutività dei crediti di TTPCP in questione. La concessione dell’effetto sospensivo al ricorso nella procedura di condono non avrebbe quindi alcun senso. Non si entra nel merito della domanda di effetto sospensivo (consid. 3a). - Misure provvisionali (consid. 2b). Anche se la domanda di effetto sospensivo dovesse essere tramutata in domanda di misure provvisionali, essa dovrebbe essere respinta a causa dell’assenza di un danno irreparabile (consid. 3b).</w:t>
      </w:r>
    </w:p>
    <w:p>
      <w:r>
        <w:rPr>
          <w:b/>
        </w:rPr>
        <w:t>E. 2</w:t>
      </w:r>
    </w:p>
    <w:p>
      <w:r>
        <w:t>Zusammenfassung des Sachverhalts: A. Mit Schreiben vom 28. Juni 2004 ersuchte die X. AG die Eidgenössische Oberzolldirektion (OZD) um Erlass der leistungsabhängigen Schwerverkehrsabgabe (LSVA) in Höhe von Fr. 15’953.55, welche mit den Rechnungen Nr. (…) erhoben worden war. Die OZD wies das Gesuch um Erlass der LSVA am 30. September 2004 ab. B. Gegen diesen Entscheid der OZD führt die X. AG (im Folgenden: Beschwerdeführerin) am 1. November 2004 Beschwerde an die Eidgenössische Zollrekurskommission (ZRK) mit den Begehren, der Entscheid der OZD vom 30. September 2004 sei aufzuheben, die Beträge der genannten Rechnungen vollständig zu erlassen und der Beschwerde die aufschiebende Wirkung zuzuerkennen. (…)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