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69.53 vom 19. Oktober 2004</w:t>
      </w:r>
    </w:p>
    <w:p>
      <w:r>
        <w:t>Bundesverwaltung, 2004-10-19, DE</w:t>
      </w:r>
    </w:p>
    <w:p>
      <w:r>
        <w:rPr>
          <w:b/>
        </w:rPr>
        <w:t xml:space="preserve">Quelle: </w:t>
      </w:r>
      <w:r>
        <w:t>https://mcp.opencaselaw.ch/entscheid/ch_vb_JAAC_69.53__</w:t>
      </w:r>
    </w:p>
    <w:p>
      <w:r>
        <w:t>FR: CH_VB JAAC 69.53 du 19 octobre 2004</w:t>
      </w:r>
    </w:p>
    <w:p>
      <w:r>
        <w:t>IT: CH_VB JAAC 69.53 del 19 ottobre 2004</w:t>
      </w:r>
    </w:p>
    <w:p>
      <w:pPr>
        <w:pStyle w:val="Heading2"/>
      </w:pPr>
      <w:r>
        <w:t>Erwägungen</w:t>
      </w:r>
    </w:p>
    <w:p>
      <w:r>
        <w:rPr>
          <w:b/>
        </w:rPr>
        <w:t>E. 4</w:t>
      </w:r>
    </w:p>
    <w:p>
      <w:r>
        <w:t>vom 5. Oktober 1979 [AsylG von 1979], AS 1980 1718, wo zwingend das Ergebnis einer erkennungsdienstlichen Behandlung vorausgesetzt wurde) eine Einschränkung auf eine bestimmte Art von Beweisen enthält, kann an dieser Stelle offen bleiben. Jedenfalls hat die ARK in ständiger Rechtsprechung so genannte Knochenaltersbestimmungen zur Ermittlung des massgeblichen Sachverhalts im Zusammenhang mit Nichteintretensentscheiden gemäss Art. 32 Abs. 2 Bst. b AsylG - wie bereits erwähnt - anerkannt (vgl. EMARK 2000 Nr. 19 = VPB 65.4, EMARK 2001 Nr. 23). In ihrem Urteil vom 20. August 2002 i.S. W.F., Tunesien (publiziert in EMARK 2002 Nr. 18 = VPB 67.3), hielt die ARK fest, gemäss ihrer bisherigen Rechtsprechung sei Auskünften oder Zeugnissen von Drittpersonen grundsätzlich ein minderer Beweiswert als Gutachten von Sachverständigen zugekommen. Der Grundsatz, gemäss welchem der Richter nicht ohne «zwingende Gründe» von der Einschätzung eines Experten abweiche, habe zudem bislang einzig in Bezug auf Gutachten von Sachverständigen («expertises judiciaires»), nicht aber hinsichtlich Auskünften und Zeugnissen von Drittpersonen («expertises privées») gegolten. In Anlehnung an die damals aktuelle Praxis des Bundesgerichts (vgl. BGE 125 V 352) kam die Kommission sodann zum Schluss, wenn Art. 40 BZP den Grundsatz der freien richterlichen Beweiswürdigung in Bezug auf - mithin alle - Beweismittel statuiere, sei zur Beurteilung des Beweiswerts eines Dokuments weder dessen Herkunft noch dessen Bezeichnung als Bericht oder Expertise massgeblich. Der Beweiswert eines Berichts (in casu: eines ärztlichen Berichts) könne daher nur verneint werden, wenn der Richter über konkrete Indizien verfüge, welche geeignet sind, die Zuverlässigkeit dieses Berichts in Zweifel zu ziehen (vgl. EMARK 2002 Nr. 18 E. 4a/aa S. 145 f. = VPB 67.3; in Bezug auf die Frage der Zuverlässigkeit eines Beweismittels vgl. auch EMARK 2002 Nr. 13 E. 6c S. 115 f. = VPB 66.85, sowie BGE 123 V 331 E. 1c S. 334).</w:t>
      </w:r>
    </w:p>
    <w:p>
      <w:r>
        <w:rPr>
          <w:b/>
        </w:rPr>
        <w:t>E. 5</w:t>
      </w:r>
    </w:p>
    <w:p>
      <w:r>
        <w:t>Gelegenheit geboten wurde, Abänderungs- oder Ergänzungsanträge zu stellen (vgl. diesbezüglich auch Art. 11 AsylG), noch allfällige Ausstandsgründe hinsichtlich der Ernennung des Experten geltend zu machen. Ihm wurde am 2. März 2004 einzig (nachträglich) das rechtliche Gehör zum Ergebnis der Knochenaltersbestimmung gewährt.</w:t>
      </w:r>
    </w:p>
    <w:p>
      <w:r>
        <w:rPr>
          <w:b/>
        </w:rPr>
        <w:t>E. 5.1</w:t>
      </w:r>
    </w:p>
    <w:p>
      <w:r>
        <w:t>Ein Gutachten im Sinne von Art. 12 Bst. e VwVG hat besonderen formellen Anforderungen zu genügen, welche sich für das Verwaltungs- und Verwaltungsbeschwerdeverfahren nach den Bestimmungen des Bundesgesetzes über den Bundeszivilprozess richten (Art. 57-61 BZP in Verbindung mit Art. 19 VwVG). So sind bei der Einholung solcher Gutachten durch eine Verwaltungsbehörde (amtliches Gutachten) beziehungsweise ein Gericht (gerichtliches Gutachten) insbesondere die in Art. 57 ff. BZP statuierten Mitwirkungsrechte der Betroffenen durch die Verwaltung beziehungsweise durch die Beschwerdeinstanz zu beachten. Den Parteien ist Gelegenheit zu geben, sich vorgängig zu den Fragen an den Gutachter zu äussern und Abänderungs- und Ergänzungsanträge zu stellen (vgl. Art. 57 Abs. 2 BZP); des Weiteren ist ihnen Gelegenheit zu geben, vor der Ernennung des Gutachters Einwendungen gegen dessen Person anzubringen (vgl. Art. 58 Abs. 2 BZP; Ausstandsgründe); sodann ist ihnen das Recht zu gewähren, nachträglich zum Gutachten Stellung zu nehmen sowie dessen Erläuterung oder Ergänzung oder aber eine neue Begutachtung zu beantragen (Art. 60 Abs. 1 BZP; zum Ganzen vgl. auch EMARK 1998 Nr. 34 E. 6 S. 285 f. = VPB 63.41).</w:t>
      </w:r>
    </w:p>
    <w:p>
      <w:r>
        <w:rPr>
          <w:b/>
        </w:rPr>
        <w:t>E. 5.2</w:t>
      </w:r>
    </w:p>
    <w:p>
      <w:r>
        <w:t>Die vorliegende Mitteilung betreffend Knochenaltersbestimmung genügt den Anforderungen des Bundeszivilprozessrechts an Gutachten mithin nur schon deshalb nicht, weil dem Beschwerdeführer vorgängig weder</w:t>
      </w:r>
    </w:p>
    <w:p>
      <w:r>
        <w:rPr>
          <w:b/>
        </w:rPr>
        <w:t>E. 6</w:t>
      </w:r>
    </w:p>
    <w:p>
      <w:r>
        <w:t>kennt, die einen Nichteintretens-Entscheid ausschliessen würde für den Fall, dass Hinweise auf eine Verfolgung vorliegen, die sich nicht als offensichtlich haltlos erweisen (vgl. EMARK 2003 Nr. 27 E. 4a S. 178).</w:t>
      </w:r>
    </w:p>
    <w:p>
      <w:r>
        <w:rPr>
          <w:b/>
        </w:rPr>
        <w:t>E. 6.1</w:t>
      </w:r>
    </w:p>
    <w:p>
      <w:r>
        <w:t>Als verfügende und damit in erster Instanz rechtsanwendende Behörde ist das BFF ein zur Objektivität verpflichtetes Organ. Daraus kann gefolgert werden, dass die von ihm erstellten Berichte und bestellten Analysen oder Arztberichte grundsätzlich fachlich zuverlässig, objektiv und unparteiisch sein müssen. Ferner müssen sie auch schlüssig, in sich widerspruchsfrei sein und nachvollziehbar begründet werden (vgl. EMARK 1998 Nr. 34 E. 8a S. 288 = VPB 63.41).</w:t>
      </w:r>
    </w:p>
    <w:p>
      <w:r>
        <w:rPr>
          <w:b/>
        </w:rPr>
        <w:t>E. 6.2</w:t>
      </w:r>
    </w:p>
    <w:p>
      <w:r>
        <w:t>Die vom BFF in Auftrag gegebenen Knochenaltersbestimmungen stellen nach dem Gesagten blosse schriftliche Auskünfte im Sinne von Art. 49 BZP in Verbindung mit Art. 19 VwVG dar, welche einzelfallbezogen frei zu würdigen sind. Gleichzeitig ist aber auch festzuhalten, dass solchen von einer medizinischen Fachperson erstellten Zeugnissen respektive Knochenaltersbestimmungen bei Einhaltung bestimmter Voraussetzungen und Anforderungen (dazu sogleich in E. 7) - im Vergleich zu gewöhnlichen Parteivorbringen - im Einzelfall durchaus erhöhter Beweiswert zugemessen werden kann, sofern sie als schlüssig erscheinen, nachvollziehbar begründet sowie in sich widerspruchsfrei sind und keine Indizien gegen ihre Zuverlässigkeit bestehen (vgl. oben, E. 4.2). Hinsichtlich des Beweiswertes eines Arztberichtes ist mithin entscheidend, ob der Bericht für die streitigen Belange umfassend ist, auf allseitigen Untersuchungen beruht, in Kenntnis der Vorakten (Anamnese) abgegeben worden ist, in der Darlegung der medizinischen Zusammenhänge und in der Beurteilung der medizinischen Situation einleuchtet und ob die Schlussfolgerungen des Experten begründet sind (vgl. BGE 122 V 157 E. 1c S. 160 mit weiteren Hinweisen; vgl. auch H.-J. Mosimann, Somatoforme Störungen: Gerichte und [psychiatrische] Gutachten, in: Schweizerische Zeitschrift für Sozialversicherung und berufliche Vorsorge [SZS] 43/1999, S. 121 f.).</w:t>
      </w:r>
    </w:p>
    <w:p>
      <w:r>
        <w:rPr>
          <w:b/>
        </w:rPr>
        <w:t>E. 6.3</w:t>
      </w:r>
    </w:p>
    <w:p>
      <w:r>
        <w:t>Aufgrund der erheblichen Bedeutung der Knochenaltersbestimmungen im Rahmen von Nichteintretensentscheiden im Sinne von Art. 32 Abs. 2 Bst. b AsylG erscheint es gerechtfertigt, dass an solche schriftliche Auskünfte respektive ärztliche Zeugnisse erhöhte Anforderungen gestellt werden müssen. In diesem Zusammenhang ist nämlich zu berücksichtigen, dass die im Asylgesetz vorgesehenen Nichteintretens-Bestimmungen gemäss konstanter Praxis der ARK restriktiv zu interpretieren sind (vgl. EMARK 1997 Nr. 9 S. 65, mit weiteren Hinweisen = VPB 62.8). Der Nachweis der Identitätstäuschung im Sinne von Art. 32 Abs. 2 Bst. b AsylG muss ohne vernünftigen Zweifel feststehen, zumal diese Bestimmung - im Gegensatz etwa zur so genannten Papierlosen-Bestimmung von Art. 32 Abs. 2 Bst. a AsylG - keine Schutzklausel</w:t>
      </w:r>
    </w:p>
    <w:p>
      <w:r>
        <w:rPr>
          <w:b/>
        </w:rPr>
        <w:t>E. 6.4</w:t>
      </w:r>
    </w:p>
    <w:p>
      <w:r>
        <w:t>Der Vollständigkeit halber ist schliesslich festzuhalten, dass es im vorliegenden konkreten Verfahren, entgegen der von der Vorinstanz in ihrer Vernehmlassung vom 19. Mai 2004 geäusserten Auffassung, nicht darum geht, Klarheit darüber zu schaffen, ob die Minderjährigkeit des Beschwerdeführers - und damit dessen besondere Schutzwürdigkeit - tatsächlich gegeben ist (vgl. diesbezüglich das Grundsatzurteil EMARK 2004 Nr. 30 = VPB 69.52). Es geht in casu hinsichtlich des Nichteintretens einzig und allein um die Frage, ob der Beschwerdeführer über sein Alter respektive seine Identität im Sinne der Praxis der Kommission zu Art. 32 Abs. 2 Bst. b AsylG getäuscht hat (vgl. EMARK 2000 Nr. 19 = VPB 65.4, EMARK 2001 Nr. 23) und dem BFF dieser Nachweis gelungen ist.</w:t>
      </w:r>
    </w:p>
    <w:p>
      <w:r>
        <w:rPr>
          <w:b/>
        </w:rPr>
        <w:t>E. 7</w:t>
      </w:r>
    </w:p>
    <w:p>
      <w:r>
        <w:t>der sachverständige Arzt zum beim Beschwerdeführer festgestellten Alter von 19 Jahren gekommen ist. In dieser Form reduziert sich die Erkenntnis des Arztes mithin auf eine blosse Behauptung, welche es dem Richter verunmöglicht, im Rahmen der freien Beweiswürdigung den Beweiswert des Analyseresultats festzustellen (vgl. EMARK 2002 Nr. 18 E. 4a/aa S. 145 = VPB 67.3). Bezüglich der tabellarischen Auflistung der Namen respektive Personen gilt es sodann festzuhalten, dass diese Form aufgrund der immanent grossen Verwechslungsgefahr als äusserst bedenklich zu bezeichnen und als Indiz gegen die Zuverlässigkeit des Berichts zu werten ist. Diesbezügliche Zweifel sind jedenfalls nicht a priori auszuschliessen (vgl. oben, E. 6.2). An dieser Stelle nur nebenbei zu erwähnen ist sodann, dass aus dem Arztbericht respektive den Akten nicht mit genügender Sicherheit hervorgeht, ob tatsächlich der Beschwerdeführer selber beim Arzt erschienen ist, respektive ob von dessen Hand ein Röntgenbild erstellt wurde. Es ist nämlich nicht gänzlich auszuschliessen, dass Asylsuchende, welche behaupten minderjährig zu sein, jemanden anderes - eine effektiv minderjährige Person - zur Untersuchung schicken könnten.</w:t>
      </w:r>
    </w:p>
    <w:p>
      <w:r>
        <w:rPr>
          <w:b/>
        </w:rPr>
        <w:t>E. 7.1</w:t>
      </w:r>
    </w:p>
    <w:p>
      <w:r>
        <w:t>Ein als schriftliche Auskunft geltendes ärztliches Zeugnis ist in der Regel nicht nur in quantitativer Hinsicht einfacher als ein (förmliches) Sachverständigengutachten, sondern von diesem auch qualitativ verschieden. Im ärztlichen Zeugnis begnügt sich der Arzt damit, aufgrund der mitgeteilten Anamnese und - davon deutlich getrennt - seiner eigenen Befunde eine vom Auftraggeber gestellte einfache Frage (in casu: Knochenalter) zu beantworten. Die Beantwortung der Frage stellt den Kernpunkt dar, um welchen sich die Abklärung dreht. Das Zeugnis soll kurz und präzis sein. In formeller Hinsicht muss ein ärztliches Zeugnis zudem datiert und mit eigenhändiger Unterschrift des Arztes sowie der Nennung des Adressaten versehen sein (vgl. H. Patscheider/H. Hartmann, Leitfaden der Rechtsmedizin, 3. Aufl., Bern u. a. 1993, S. 16 f.). Demgegenüber besteht ein förmliches medizinisches Gutachten aus zwei Teilen mit einer klaren Zäsur in der Mitte. Der erste Teil stellt die Materialsammlung dar (Anamnese, ärztliche Befunde, Spezialuntersuchungen usw.) Im zweiten Teil werden die Ergebnisse derselben in einer Diskussion zusammengefasst und die daraus resultierenden Schlüsse gezogen (vgl. hierzu Patscheider/Hartmann, a.a.O., S. 16 f.).</w:t>
      </w:r>
    </w:p>
    <w:p>
      <w:r>
        <w:rPr>
          <w:b/>
        </w:rPr>
        <w:t>E. 7.2</w:t>
      </w:r>
    </w:p>
    <w:p>
      <w:r>
        <w:t>Für den vorliegenden Fall ist festzuhalten, dass die von PD Dr. med. X.Y. (Endokrinologie) unterzeichnete, an das BFF adressierte Mitteilung vom 25. Februar 2004 aus einem einzigen Schriftstück besteht. Es enthält eine tabellarische Auflistung mit dem jeweiligen Resultat der Knochenaltersanalysen neun verschiedener Personen mit Name und Vorname, den dazugehörigen (geltend gemachten) Geburtsdaten und - in der letzten Spalte - dem diagnostisch festgestellten Knochenalter in Jahren. Dem ärztlichen Zeugnis in der vorliegenden Form kann bei dieser Sachlage kein erhöhter Beweiswert im Sinne der oben aufgeführten Rechtsprechung zugemessen werden, da diesem weder eine Beschreibung des Befunds (Beschreibung der Röntgenbilder), der angewandten wissenschaftlichen Methode (Art. 7 Abs. 1 AsylV 1; vgl. dazu im Übrigen ausführlich EMARK 2000 Nr. 19 = VPB 65.4) noch eine begründete Schlussfolgerung aus dem festgestellten Befund zu entnehmen ist. Es ist mit anderen Worten für den in der Rechtssache Entscheidenden schlicht nicht nachvollziehbar, wie</w:t>
      </w:r>
    </w:p>
    <w:p>
      <w:r>
        <w:rPr>
          <w:b/>
        </w:rPr>
        <w:t>E. 7.3</w:t>
      </w:r>
    </w:p>
    <w:p>
      <w:r>
        <w:t>Hinsichtlich des Inhalts von ärztlichen Zeugnissen betreffend Knochenaltersbestimmung müssen nach dem Gesagten zusammenfassend folgende zwingende inhaltliche Voraussetzungen erfüllt sein, damit diese den Anforderungen an ein Beweismittel im Sinne von Art. 32 Abs. 2 Bst. b AsylG zu genügen vermögen. Aus dem Bericht muss zunächst hervorgehen, welcher Arzt respektive welche Ärztin die Untersuchung durchgeführt hat, und dass diese Person die hierfür erforderliche fachliche Qualifikation aufweist. Eine allenfalls von einer weiteren Person durchgeführte Gegenprobe ist zu vermerken. Die zweifelsfrei festgestellte Identität des Exploranden (ist die richtige Person zur Untersuchung erschienen?) muss sodann im Bericht ausgewiesen werden. Ebenfalls erwähnt werden müssen allfällige vom Exploranden geltend gemachte Krankheiten und besondere Lebensumstände, welche das Knochenwachstum beeinflusst haben könnten. Im Kern hat der Bericht Angaben zur Methode der Knochenaltersbestimmung, die Umschreibung des festgestellten Befunds und die daraus abgeleitete Schlussfolgerung (Resultat) zu enthalten. Schliesslich muss der Bericht selbstverständlich datiert, vom Verfasser eigenhändig unterschrieben und der Adressat genannt sein. In dieser Form ist er denn auch der asylsuchenden Person zur Stellungnahme im Rahmen des rechtlichen Gehörs offen zu legen.</w:t>
      </w:r>
    </w:p>
    <w:p>
      <w:r>
        <w:rPr>
          <w:b/>
        </w:rPr>
        <w:t>E. 7.4</w:t>
      </w:r>
    </w:p>
    <w:p>
      <w:r>
        <w:t>Aus den dargelegten Gründen kommt die Kommission zum Schluss, dass das vorliegende ärztliche Zeugnis betreffend Knochenaltersbestimmung des Beschwerdeführers den erhöhten Anforderungen an den Beweiswert für einen Nichteintretensentscheid im Sinne von Art. 32 Abs. 2 Bst. b AsylG nicht genügt, die Identitätstäuschung mithin nicht zweifelsfrei feststeht. Der rechtserhebliche Sachverhalt ist als unvollständig erstellt zu bezeichnen (Art. 106 Abs. 1 Bst. b AsylG). Das vorliegende Verfahren erweist sich somit als nicht entscheidreif. Da bei der vorliegenden Sachlage die für ein reformatorisches Urteil erforderliche Entscheidreife nicht gegeben ist und diese auch nicht mit bloss geringem Beweisaufwand hergestellt werden kann, ist die angefochtene Verfügung aufzuheben und die Sache zur ergänzenden Sachverhaltsabklärung und anschliessenden Neubeurteilung im Sinne der Erwägungen an das BFF zurückzuweisen (vgl. F. Gygi, Bundesverwaltungsrechtspflege, Bern 1983, 2. Auflage, S. 233).</w:t>
      </w:r>
    </w:p>
    <w:p>
      <w:r>
        <w:rPr>
          <w:b/>
        </w:rPr>
        <w:t>E. 9</w:t>
      </w:r>
    </w:p>
    <w:p>
      <w:r>
        <w:t>Schweizerisches Bundesarchiv, Digitale Amtsdruckschriften Archives fédérales suisses, Publications officielles numérisées Archivio federale svizzero, Pubblicazioni ufficiali digitali JAAC 69.53 - Auszug aus dem Urteil der Schweizerischen Asylrekurskommission vom 19. Oktober 2004 i.S. B.J., Sierra Leone, auch erschienen in Entscheidungen und Mitteilungen der Schweizerischen Asylrekurskommission [EMARK] 2004 Nr. 31 In Verwaltungspraxis der Bundesbehörden Dans Jurisprudence des autorités administratives de la Confédération In Giurisprudenza delle autorità amministrative della Confederazione Jahr 2005 Année Anno Band 69 Volume Volume Seite --- Page Pagina Ref. No 150 006 995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