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 vom 19. Dezember 2003</w:t>
      </w:r>
    </w:p>
    <w:p>
      <w:r>
        <w:t>Bundesverwaltung, 2003-12-19, DE</w:t>
      </w:r>
    </w:p>
    <w:p>
      <w:r>
        <w:rPr>
          <w:b/>
        </w:rPr>
        <w:t xml:space="preserve">Quelle: </w:t>
      </w:r>
      <w:r>
        <w:t>https://mcp.opencaselaw.ch/entscheid/ch_vb_JAAC_69.2__</w:t>
      </w:r>
    </w:p>
    <w:p>
      <w:r>
        <w:t>FR: CH_VB JAAC 69.2 du 19 décembre 2003</w:t>
      </w:r>
    </w:p>
    <w:p>
      <w:r>
        <w:t>IT: CH_VB JAAC 69.2 del 19 dicembre 2003</w:t>
      </w:r>
    </w:p>
    <w:p>
      <w:pPr>
        <w:pStyle w:val="Heading2"/>
      </w:pPr>
      <w:r>
        <w:t>Erwägungen</w:t>
      </w:r>
    </w:p>
    <w:p>
      <w:r>
        <w:rPr>
          <w:b/>
        </w:rPr>
        <w:t>E. 1</w:t>
      </w:r>
    </w:p>
    <w:p>
      <w:r>
        <w:t>Bases constitutionnelles de l’immunité absolue (art. 162 al. 1 Cst.) et des privilèges accordés aux magistrats en matière de poursuite pénale (immunité relative, art. 162 al. 2 Cst.; ch. I 1).</w:t>
      </w:r>
    </w:p>
    <w:p>
      <w:r>
        <w:rPr>
          <w:b/>
        </w:rPr>
        <w:t>E. 2</w:t>
      </w:r>
    </w:p>
    <w:p>
      <w:r>
        <w:t>L’art. 61a LOGA règle les conditions d’engagement de poursuites pénales contre des magistrats pour des infractions sans rapport avec leur fonction. L’art. 14 LRCF règle la procédure pour les infractions en rapport avec leur activité ou situation officielle; s’il s’agit de membres de l’Assemblée fédérale, c’est l’art. 17 LParl qui est applicable dans la seconde hypothèse (ch. I 2).</w:t>
      </w:r>
    </w:p>
    <w:p>
      <w:r>
        <w:rPr>
          <w:b/>
        </w:rPr>
        <w:t>E. 3</w:t>
      </w:r>
    </w:p>
    <w:p>
      <w:r>
        <w:t>L’élection d’une personne au Conseil fédéral acquiert validité juridique au moment où elle déclare accepter l’élection. La fonction de magistrat n’est toutefois revêtue qu’au moment de son entrée en fonction (ch. II).</w:t>
      </w:r>
    </w:p>
    <w:p>
      <w:r>
        <w:rPr>
          <w:b/>
        </w:rPr>
        <w:t>E. 4</w:t>
      </w:r>
    </w:p>
    <w:p>
      <w:r>
        <w:t>Les immunités pénales des magistrats ont pour but d’éviter les poursuites pénales «intempestives»; il s’agit d’une part de préserver le fonctionnement de l’autorité concernée, et d’autre part d’assurer le respect de la fonction du magistrat, fondé sur sa légitimité démocratique (ch. III).</w:t>
      </w:r>
    </w:p>
    <w:p>
      <w:r>
        <w:rPr>
          <w:b/>
        </w:rPr>
        <w:t>E. 5</w:t>
      </w:r>
    </w:p>
    <w:p>
      <w:r>
        <w:t>En cas de passage d’une fonction à une autre, les immunités applicables sont uniquement celles assorties à la nouvelle fonction, indépendamment du moment de la commission de l’infraction (ch. IV 1); la compétence pour la levée de l’immu­nité passe à la nouvelle autorité, même si une demande est pendante auprès de l’autorité anciennement compétente (ch. IV 2).</w:t>
      </w:r>
    </w:p>
    <w:p>
      <w:r>
        <w:rPr>
          <w:b/>
        </w:rPr>
        <w:t>E. 6</w:t>
      </w:r>
    </w:p>
    <w:p>
      <w:r>
        <w:t>Quant au délai de traitement d’une demande de levée de l’immunité, Ll’autorité compétente dispose d’une certaine liberté d’appréciation quant au délai de traitement d’une demande de levée de l’immunité. 1</w:t>
      </w:r>
    </w:p>
    <w:p>
      <w:r>
        <w:t>Si cette demande est déposée peu avant que le magistrat revête de nouvelles fonctions, il est légitime de ne plus se saisir de la demande, car les effets d’une procédure pénale n’affecteront que la nouvelle fonction (ch. IV 3).</w:t>
      </w:r>
    </w:p>
    <w:p>
      <w:r>
        <w:rPr>
          <w:b/>
        </w:rPr>
        <w:t>E. 7</w:t>
      </w:r>
    </w:p>
    <w:p>
      <w:r>
        <w:t>Magistratsfunktion in eine andere exklusiv zur Anwendung kommen. Eine zeitliche Ausdehnung von Art. 17 ParlG über den Stichtag des Amtsantritts eines bisherigen Ratsmitglieds als Bundesrat hinaus, die zu einer kumulativen Anwendung von Art. 17 ParlG und Art. 61a RVOG führen würde, ist weder erforderlich noch rechtlich korrekt. Wie bereits erwähnt, nennt Art. 17 ParlG nur die Ratsmitglieder, nicht aber die ehemaligen Ratsmitglieder. Umgekehrt bezieht sich der Wortlaut von Art. 61a Absatz 1 RVOG auf Verbrechen und Vergehen von Bundesratsmitgliedern, «die nicht im Zusammenhang mit ihrer amtlichen Stellung oder Tätigkeit stehen». Angebliche Delikte, die in den Zeitraum vor dem Amtsantritt als Bundesrat fallen, werden mit dieser Formulierung problemlos erfasst. Der weit gefasste Wortlaut deckt sich auch mit der ratio legis der Strafverfolgungsprivilegien, wie sie in Ziffer III zuvor erläutert wurden: Es geht hier nicht um das Delikt an sich und auch nicht um den Zeitpunkt seiner allfälligen Begehung, sondern um eine Interessenabwägung, ob mit Blick auf die Funktionsfähigkeit des betroffenen Gremiums und auf die Würde der Magistratsfunktion eine Strafverfolgung zumutbar ist oder nicht. Eine kumulative Anwendung von Art. 17 ParlG und Art. 61a RVOG im Falle des Wechsels eines Mitglieds der Bundesversammlung in den Bundesrat würde zwangsläufig zu inhaltlichen Widersprüchen führen (unterschiedliche Zuständigkeiten bzw. Verfahren). 2. Wechsel der Zuständigkeit beim Antritt einer neuen Magistratsfunktion Aufgrund des unter Ziffer III erläuterten Sinnes der Strafverfolgungsprivilegien ist klar, dass die Organzuständigkeit zu deren allfälligen Aufhebung beim Wechsel von einer Magistratsfunktion in eine andere davon abhängt, welches Gremium von der Durchführung eines Strafverfahrens gegen eine bestimmte Person effektiv betroffen wäre. Massgebend ist somit die Magistratsfunktion, welche die betroffene Person im Zeitpunkt der Behandlung des Aufhebungsgesuchs einnimmt. Nicht entscheidend ist der Zeitpunkt der Einreichung des Aufhebungsgesuchs. Wird ein Gesuch um Aufhebung eines Strafverfolgungsprivilegs bei einem bestimmten Organ eingereicht, das im Zeitpunkt der Einreichung zur Behandlung zuständig ist, wechselt die betroffene Person aber ihre Magistratsfunktion vor der Behandlung des Gesuchs und sieht das Gesetz für die neue Magistratsfunktion eine andere Zuständigkeit vor, so erlischt die Zuständigkeit des ersten Organs. Mit dem Wechsel der Magistratenstellung, wie er durch den Amtsantritt eines in den Bundesrat gewählten Mitglieds</w:t>
      </w:r>
    </w:p>
    <w:p>
      <w:r>
        <w:rPr>
          <w:b/>
        </w:rPr>
        <w:t>E. 8</w:t>
      </w:r>
    </w:p>
    <w:p>
      <w:r>
        <w:t>der Bundesversammlung vollzogen wird, geht es nicht mehr um das Strafverfolgungsprivileg der Ratsmitglieder, sondern um dasjenige der Bundesratsmitglieder. 3. Behandlungsfrist Bezüglich der Frist zur Behandlung eines eingereichten Gesuchs verfügt das zuständige Organ unter Vorbehalt der Schranken der Rechtsverzögerung über einen gewissen Ermessensspielraum. Dies ist angezeigt, weil ein Entscheid über die Aufhebung oder Beibehaltung eines Strafverfolgungsprivilegs angesichts der auf dem Spiele stehenden gewichtigen Interessen sorgfältig vorbereitet werden muss. Eine gewisse zeitliche Flexibilität ist aber auch notwendig, weil in den Entscheid neben juristischen Aspekten namentlich auch wesentliche staatspolitische Erwägungen einfliessen sollen. Der Zeitpunkt der Behandlung eines Gesuchs um Aufhebung der Strafverfolgungsprivilegien kann unter Umständen selber staatspolitische Bedeutung haben (so könnten z. B. im Gange befindliche wichtige aussenpolitische Verhandlungen für ein kurzzeitiges Herausschieben der Aufhebung der relativen Immunität eines Bundesratsmitglieds sprechen, obwohl diese von der Sache her unbestritten ist). Wird ein Gesuch um Aufhebung der Strafverfolgungsprivilegien kurz vor dem Wechsel der betroffenen Person von einer Magistratsfunktion in eine andere eingereicht, so ist es angesichts der Auswirkungen eines Strafverfahrens, die in jedem Fall erst die neue Magistratsfunktion tangieren würden, jedenfalls legitim, wenn das zunächst noch zuständige Organ das Gesuch nicht mehr behandelt. V. Zuständigkeit zur Aufhebung von Strafverfolgungsprivilegien im Falle amtsbezogener Delikte, die ein in den Bundesrat gewähltes Mitglied der Bundesversammlung vor seiner Wahl begangen haben soll Aufgrund des zuvor unter den Ziffern III und IV Gesagten gilt für den hier zur Beurteilung stehen Fall Folgendes: 1. Behandlung des Antrags um Aufhebung der relativen Immunität vor dem Amtsantritt als Bundesrat Wird einem in den Bundesrat gewählten Mitglied der Bundesversammlung eine strafbare Handlung vorgeworfen, die im Zusammenhang mit seiner amtlichen Stellung oder Tätigkeit steht, so ist Art. 17 ParlG anwendbar, wenn ein eingegangenes Gesuch um Aufhebung der relativen Immunität noch vor dem Amtsantritt als Bundesrat behandelt werden soll. Zuständig für die Aufhebung wären somit die beiden Räte, die gesondert zustimmen müssen (Art. 17 Abs. 2 ParlG). Die Räte bzw. deren Organe (vorberatenden Kommissionen) haben aber, wie unter Ziffer IV erwähnt, einen Ermessensspielraum. Wird das Gesuch erst sehr kurz vor dem Amtsantritt als Bundesrat eingereicht, so kann</w:t>
      </w:r>
    </w:p>
    <w:p>
      <w:r>
        <w:rPr>
          <w:b/>
        </w:rPr>
        <w:t>E. 9</w:t>
      </w:r>
    </w:p>
    <w:p>
      <w:r>
        <w:t>eine pflichtgemässe Ausübung dieses Ermessens dazu führen, dass die Behandlung nicht mehr an die Hand genommen wird, weil sich ein allfälliges Strafverfahren praktisch ausschliesslich in der neuen Magistratsfunktion auswirken würde. Unter Umständen kann allerdings das Interesse an einer raschen Klärung der strafrechtlich relevanten Vorwürfe so gross sein, dass eine sofortige Behandlung des Gesuchs und ein Aufhebungsentscheid angezeigt ist (z. B. wenn es um besonders gravierende Vorwürfe geht, die eine geordnete Aufnahme der Tätigkeit als Mitglied des Bundesrats praktisch verunmöglichen). 2. Behandlung des Antrags um Aufhebung der relativen Immunität nach dem Amtsantritt als Bundesrat Wird einem in den Bundesrat gewählten Mitglied der Bundesversammlung eine strafbare Handlung vorgeworfen, die im Zusammenhang mit seiner amtlichen Stellung oder Tätigkeit im Parlament steht, so kommt ausschliesslich Art. 61a RVOG zur Anwendung, wenn ein eingegangenes Gesuch um Aufhebung der relativen Immunität erst nach dem Amtsantritt als Bundesrat behandelt wird. Art. 61a RVOG, der sich auf Delikte ohne Zusammenhang mit der Amtstätigkeit bezieht, ist in diesem Fall richtig, weil die allfälligen Delikte keinen Zusammenhang mit der gerade übernommenen Bundesratsfunktion haben (sie wären ja noch während der Zugehörigkeit zum Parlament begangen worden). Art. 61a RVOG sieht vor, dass eine Strafverfolgung nur mit der schriftlichen Einwilligung des betroffenen Bundesratsmitglieds oder der Zustimmung des Bundesrats angehoben werden kann (Art. 61a Abs. 1 RVOG). Die Strafverfolgungsbehörde wendet sich zunächst an das betroffene Bundesratsmitglied und fragt dieses, ob es die Zustimmung erteilen will. Lehnt es ab, so stellt die Behörde einen entsprechenden Antrag an den Bundesrat. Verweigert auch dieser die Zustimmung, so kann bei der Bundesversammlung Beschwerde erhoben werden. Im neuen Art. 61a RVOG wird nicht mehr auf die Vereinigte Bundesversammlung verwiesen und damit die frühere, sachlich nicht begründbare Differenzierung zu amtlichen Delikten von Bundesratsmitgliedern, der Bundeskanzlerin oder des Bundeskanzlers (entgegen den Ausführungen von Tschannen, a.a.O., § 29, Rz. 17) aufgegeben.</w:t>
      </w:r>
    </w:p>
    <w:p>
      <w:r>
        <w:rPr>
          <w:b/>
        </w:rPr>
        <w:t>E. 10</w:t>
      </w:r>
    </w:p>
    <w:p>
      <w:r>
        <w:t>Schweizerisches Bundesarchiv, Digitale Amtsdruckschriften Archives fédérales suisses, Publications officielles numérisées Archivio federale svizzero, Pubblicazioni ufficiali digitali JAAC 69.2 - Gutachten des Bundesamtes für Justiz vom 19. Dezember 2003 In Verwaltungspraxis der Bundesbehörden Dans Jurisprudence des autorités administratives de la Confédération In Giurisprudenza delle autorità amministrative della Confederazione Jahr 2005 Année Anno Band 69 Volume Volume Seite --- Page Pagina Ref. No 150 006 917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