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69.29 vom 3. Juni 2004</w:t>
      </w:r>
    </w:p>
    <w:p>
      <w:r>
        <w:t>Bundesverwaltung, 2004-06-03, DE</w:t>
      </w:r>
    </w:p>
    <w:p>
      <w:r>
        <w:rPr>
          <w:b/>
        </w:rPr>
        <w:t xml:space="preserve">Quelle: </w:t>
      </w:r>
      <w:r>
        <w:t>https://mcp.opencaselaw.ch/entscheid/ch_vb_JAAC_69.29__</w:t>
      </w:r>
    </w:p>
    <w:p>
      <w:r>
        <w:t>FR: CH_VB JAAC 69.29 du 3 juin 2004</w:t>
      </w:r>
    </w:p>
    <w:p>
      <w:r>
        <w:t>IT: CH_VB JAAC 69.29 del 3 giugno 2004</w:t>
      </w:r>
    </w:p>
    <w:p>
      <w:pPr>
        <w:pStyle w:val="Heading2"/>
      </w:pPr>
      <w:r>
        <w:t>Erwägungen</w:t>
      </w:r>
    </w:p>
    <w:p>
      <w:r>
        <w:rPr>
          <w:b/>
        </w:rPr>
        <w:t>E. 1</w:t>
      </w:r>
    </w:p>
    <w:p>
      <w:r>
        <w:t>En cas de décision de non-entrée en matière, la limitation du délai de départ à un seul jour viole le principe de proportionnalité lorsque le délai imposé par la loi à l’autorité de première instance pour traiter la demande a été largement dépassé sans que cela soit imputable à la faute du requérant. En l’espèce, la fixation d’un délai de départ d’un jour, alors que la procédure d’asile a duré plus d’une année et demie, est manifestement disproportionnée (consid. 5a à d).</w:t>
      </w:r>
    </w:p>
    <w:p>
      <w:r>
        <w:rPr>
          <w:b/>
        </w:rPr>
        <w:t>E. 2</w:t>
      </w:r>
    </w:p>
    <w:p>
      <w:r>
        <w:t>Mit Beschwerde vom 7. Mai 2004 beantragte der Beschwerdeführer sinngemäss, die Verfügung des BFF sei aufzuheben und es sei auf sein Asylgesuch einzutreten. Von einer Wegweisung sei abzusehen. Die Vorinstanz beantragte in der Vernehmlassung vom 17. Mai 2004 die vollumfängliche Abweisung der Beschwerde. Die Schweizerische Asylrekurskommission (ARK) hebt die Verfügung des BFF insofern auf, als darin der Ausreisetermin auf den Tag nach Eintritt der Rechtskraft der Verfügung festgesetzt wurde. Im Übrigen weist die ARK die Beschwerde ab. Aus den Erwägungen:</w:t>
      </w:r>
    </w:p>
    <w:p>
      <w:r>
        <w:rPr>
          <w:b/>
        </w:rPr>
        <w:t>E. 5</w:t>
      </w:r>
    </w:p>
    <w:p>
      <w:r>
        <w:t>Oktober 1979 [AsylG von 1979], AS 1980 1718) und eine Behandlungsfrist durch die erste Instanz von 20 Tagen (Art. 37 AsylG von 1979) vorsahen, entschieden, dass die Anordnung des sofortigen Vollzugs der Wegweisung den Grundsatz der Verhältnismässigkeit verletzen kann, wenn die gesetzliche Behandlungsfrist längst abgelaufen ist. In jenem Fall lag die Gesuchseinreichung im Zeitpunkt des Erlasses der Verfügung mehr als eineinhalb Jahre zurück. d. Vorliegend hat der Beschwerdeführer sein Asylgesuch am 21. Oktober 2002 gestellt. Die letzte Verfahrenshandlung seitens der Asylbehörden erfolgte am 1. April 2003 (kantonale Befragung). Die Behandlungsfrist, welche als blosse Ordnungsvorschrift zu verstehen ist, wurde gemäss Neufassung von Art. 37 AsylG auf zehn Tage reduziert. Den Akten kann nicht entnommen werden, dass der Beschwerdeführer das Verfahren verzögert hätte. Das BFF 3</w:t>
      </w:r>
    </w:p>
    <w:p>
      <w:r>
        <w:t>hat gleichwohl die vor dem Hintergrund von Art. 45 Abs. 1 Bst. b AsylG kürzest mögliche Ausreisefrist angesetzt. Vorliegend muss die Ansetzung einer bloss eintägigen Ausreisefrist in Anbetracht des eineinhalbjährigen Aufenthaltes des Beschwerdeführers in der Schweiz und mangels fallspezifischer Gründe für eine derart knappe Frist als offensichtlich unverhältnismässig bezeichnet werden (vgl. dazu die zum sofortigen Vollzug gemäss altem Recht [Art. 45 Abs. 2 AsylG von 1979] entwickelte und unter EMARK 2002 Nr. 15 E. 5e = VPB 67.2, publizierte Praxis, welche sinngemäss auch für die vorliegende Konstellation nach neuem Recht gilt), weshalb die Ziff. 3 des Dispositivs der angefochtenen Verfügung aufzuheben ist. Bezüglich der Bestimmung der angemessenen Ausreisefrist legt sich die ARK allerdings Zurückhaltung auf, da sie der für den Vollzug zuständigen Bundesbehörde eine gewisse «marge de manœuvre» einräumen will. Sie hält bei offensichtlicher Unangemessenheit der Frist dieses Faktum fest unter Anweisung an die Vorinstanz, eine angemessene Frist zu setzen. Das BFF ist mithin anzuweisen, dem Beschwerdeführer eine angemessene Ausreisefrist anzusetzen. 4</w:t>
      </w:r>
    </w:p>
    <w:p>
      <w:r>
        <w:t>Schweizerisches Bundesarchiv, Digitale Amtsdruckschriften Archives fédérales suisses, Publications officielles numérisées Archivio federale svizzero, Pubblicazioni ufficiali digitali JAAC 69.29 - Auszug aus dem Urteil der Schweizerischen Asylrekurskommission vom 3. Juni 2004 i.S. S.J.M., Pakistan, auch erschienen in Entscheidungen und Mitteilungen der Schweizerischen Asylrekurskommission [EMARK] 2004 Nr. 27 In Verwaltungspraxis der Bundesbehörden Dans Jurisprudence des autorités administratives de la Confédération In Giurisprudenza delle autorità amministrative della Confederazione Jahr 2005 Année Anno Band 69 Volume Volume Seite --- Page Pagina Ref. No 150 006 914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