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69.26 vom 22. Dezember 2004</w:t>
      </w:r>
    </w:p>
    <w:p>
      <w:r>
        <w:t>Bundesverwaltung, 2004-12-22, DE</w:t>
      </w:r>
    </w:p>
    <w:p>
      <w:r>
        <w:rPr>
          <w:b/>
        </w:rPr>
        <w:t xml:space="preserve">Quelle: </w:t>
      </w:r>
      <w:r>
        <w:t>https://mcp.opencaselaw.ch/entscheid/ch_vb_JAAC_69.26__</w:t>
      </w:r>
    </w:p>
    <w:p>
      <w:r>
        <w:t>FR: CH_VB JAAC 69.26 du 22 décembre 2004</w:t>
      </w:r>
    </w:p>
    <w:p>
      <w:r>
        <w:t>IT: CH_VB JAAC 69.26 del 22 dicembre 2004</w:t>
      </w:r>
    </w:p>
    <w:p>
      <w:pPr>
        <w:pStyle w:val="Heading2"/>
      </w:pPr>
      <w:r>
        <w:t>Erwägungen</w:t>
      </w:r>
    </w:p>
    <w:p>
      <w:r>
        <w:rPr>
          <w:b/>
        </w:rPr>
        <w:t>E. 1</w:t>
      </w:r>
    </w:p>
    <w:p>
      <w:r>
        <w:t>Befristete Einreisesperre. Rechtsschutzinteresse. Ausstand des Gesamtbundesrates. Art. 48 Bst. a VwVG. Rechtsschutzinteresse. Ein öffentliches Interesse besteht daran, die Rechtmässigkeit der vom Bundesamt für Polizei verhängten befristeten, kurzen Einreisesperre in einem ordentlichen Rechtsmittelverfahren zu überprüfen, insbesondere auch im Hinblick auf künftige Anlässe des World Economic Forum (II, E. 2). Art. 10 VwVG. Ausstand des Gesamtbundesrates. Die Voraussetzungen für eine «Selbstbeurteilung» des Ausstandsbegehrens gegen eine ganze Behörde sind insbesondere dann gegeben, wenn keine andere ordentliche, d. h. nicht ad hoc bestellte Instanz die Funktion dieser Behörde übernehmen könnte (III, E. 1 und 2). Art. 15 Abs. 1 BWIS. Erheblichkeitsbewertung von Informationen ausländischer Behörden. Die schweizerischen Staatsschutzorgane sind gehalten, die von ausländischen Behörden erhaltenen Informationen nach Richtigkeit und Erheblichkeit zu bewerten. Das bedeutet jedoch nicht, dass sie in jedem Einzelfall (in concreto ging es um eine befristete Einreisesperre) sämtliche bei den ausländischen Behörden allenfalls vorhandenen Akten einverlangen oder dass sie kontrollieren müssen, ob deren Aussagen zutreffen oder nicht (IV, E. 3). Divieto d’entrata limitato nel tempo. Interesse degno di protezione. Ricusa del Consiglio federale in corpore. Art. 48 lett. a PA. Interesse degno di protezione. Nel quadro di una procedura di ricorso ordinaria, vi è un interesse pubblico a controllare la legalità di un divieto d’entrata breve e limitato nel tempo ordinato dall’Ufficio federale di polizia, in particolare anche in vista di futuri eventi del World Economic Forum (II, consid. 2). Art. 10 PA. Ricusa del Consiglio federale in corpore. Le condizioni affinché un’autorità possa essa stessa statuire su una domanda di ricusa in corpore dei suoi membri sono in particolare realizzate se nessun’altra istanza ordinaria, cioé un’istanza non creata ad hoc, è in grado di esercitare la funzione di tale autorità (III, consid. 1 e 2). Art. 15 cpv. 1 LMSI. Valutazione della rilevanza di informazioni di autorità estere. Gli organi svizzeri di protezione dello Stato sono tenuti a valutare l’esattezza e la rilevanza di informazioni ricevute da autorità estere. Ciò non significa però che debbano in ogni singolo caso (in concreto si</w:t>
      </w:r>
    </w:p>
    <w:p>
      <w:r>
        <w:rPr>
          <w:b/>
        </w:rPr>
        <w:t>E. 2</w:t>
      </w:r>
    </w:p>
    <w:p>
      <w:r>
        <w:t>trattava di un divieto d’entrata di durata limitata) richiedere tutti gli atti eventualmente a disposizione delle autorità estere oppure che siano obbligate a controllare se il contenuto delle loro informazioni sia esatto (IV, consid. 3). Aus den Erwägungen: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