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69.137 vom 12. Juli 2005</w:t>
      </w:r>
    </w:p>
    <w:p>
      <w:r>
        <w:t>Bundesverwaltung, 2005-07-12, DE</w:t>
      </w:r>
    </w:p>
    <w:p>
      <w:r>
        <w:rPr>
          <w:b/>
        </w:rPr>
        <w:t xml:space="preserve">Quelle: </w:t>
      </w:r>
      <w:r>
        <w:t>https://mcp.opencaselaw.ch/entscheid/ch_vb_JAAC_69.137__</w:t>
      </w:r>
    </w:p>
    <w:p>
      <w:r>
        <w:t>FR: CH_VB JAAC 69.137 du 12 juillet 2005</w:t>
      </w:r>
    </w:p>
    <w:p>
      <w:r>
        <w:t>IT: CH_VB JAAC 69.137 del 12 luglio 2005</w:t>
      </w:r>
    </w:p>
    <w:p>
      <w:pPr>
        <w:pStyle w:val="Heading2"/>
      </w:pPr>
      <w:r>
        <w:t>Erwägungen</w:t>
      </w:r>
    </w:p>
    <w:p>
      <w:r>
        <w:rPr>
          <w:b/>
        </w:rPr>
        <w:t>E. 6</w:t>
      </w:r>
    </w:p>
    <w:p>
      <w:r>
        <w:t>l’exécution défectueuse d’un arrêt du Tribunal fédéral dans une procédure civile (décision du Conseil fédéral du 15 mars 2002[1]). La décision citée, qui avait résulté en un renvoi devant l’autorité cantonale, n’avait pas été exécutée correctement. Les requérants s’étaient donc adressés au Conseil fédéral pour se plaindre de l’exécution défectueuse de l’arrêt du Tribunal fédéral. Le Gouvernement estime que cette voie de droit était ouverte pour le requérant s’il souhaitait se plaindre de la non-exécution de l’arrêt du 20 juin 2001. Il en conclut que le requérant n’a pas épuisé les voies de recours internes qui s’offraient à lui avant de s’adresser à la Cour. 25.Le requérant estime qu’un recours en exécution n’est pas applicable au cas d’espèce, d’une part parce que le Conseil fédéral, autorité exécutive suprême de la Confédération, est un organe gouvernemental et non judiciaire. D’autre part, le requérant rappelle que le recours en exécution s’applique aux cas d’exécution défectueuse d’arrêts du Tribunal fédéral, dans le but de faire exécuter correctement un arrêt. Or, en l’espèce, aucune exécution pouvant être contestée n’a été entreprise. 26.La Cour constate que le requérant a utilisé les voies de recours internes en ce qui concerne le grief tiré de la durée de la procédure, en se plaignant d’un déni de justice formel auprès du juge d’instruction et en introduisant un recours de droit public au Tribunal fédéral contre le rejet de sa plainte. Par ailleurs, le Gouvernement n’a pas apporté la preuve de l’efficacité d’un recours au Conseil fédéral pour exécution défectueuse dans des cas de constatation d’une violation d’un droit constitutionnel comme en l’espèce. La référence citée par le Gouvernement dans ses observations ne convainc pas car il s’agit là d’une décision sur le fond d’une contestation civile. En l’espèce, au contraire, le Tribunal fédéral n’a pas statué sur le bien-fondé de la procédure pénale ouverte à l’encontre du requérant. Il s’est contenté d’admettre le recours pour déni de justice formel. Or, le Gouvernement n’a pas démontré qu’un tel cas de figure pouvait également entrer dans le champ d’application du recours en exécution défectueuse. On ne saurait donc reprocher au requérant de n’avoir pas recouru au Conseil fédéral pour dénoncer le défaut d’exécution de l’arrêt du Tribunal fédéral admettant la durée excessive de la procédure pénale. Par conséquent, le requérant a épuisé les voies de recours internes pour ce grief. 27.Ceci étant, la Cour estime, à la lumière des critères dégagés par sa jurisprudence en matière de «délai raisonnable», et compte tenu de l’ensemble des éléments en sa possession, que ce grief doit faire l’objet d’un examen au fond. La Cour conclut par conséquent que la requête n’est pas manifestement mal fondée au sens de l’art. 35 § 3 CEDH. Constatant par ailleurs qu’elle ne se heurte à aucun autre motif d’irrecevabilité, la Cour la déclare recevable. B. Sur le fond 28.Le Gouvernement et le requérant ne se prononcent pas sur le fond dans leurs observations. 29.La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w:t>
      </w:r>
    </w:p>
    <w:p>
      <w:r>
        <w:rPr>
          <w:b/>
        </w:rPr>
        <w:t>E. 7</w:t>
      </w:r>
    </w:p>
    <w:p>
      <w:r>
        <w:t>(voir, parmi beaucoup d’autres, Pélissier et Sassi c / France [GC], no 25444/94, § 67, CEDH 1999-II; Stratégies et Communications et Demoulin c / Belgique, no 37370/97, § 45, 15 juillet 2002). 30.A ce sujet, la Cour note que le Tribunal fédéral a examiné un recours du requérant relatif au grief tiré de la durée excessive de la procédure. Il a conclu qu’une instruction pénale, qui, à l’époque, avait duré huit ans et demi devant une seule instance, était excessive. Sur la base des critères en vigueur au regard de l’art. 6 § 1 CEDH, le Tribunal fédéral a tenu compte de l’ampleur et des difficultés de l’affaire, à savoir notamment les faits complexes et les commissions rogatoires étrangères, qui ont ralenti la procédure. Il s’est également penché sur le comportement du requérant et des autorités compétentes. 31.La Cour partage l’analyse et la décision du Tribunal fédéral qui sont conformes à sa jurisprudence en la matière. 32.Après avoir examiné tous les éléments qui lui ont été soumis, la Cour considère que le Gouvernement n’a exposé aucun fait ni argument pouvant mener à une conclusion différente dans le cas présent. Compte tenu de sa jurisprudence en la matière, la Cour considère qu’en l’espèce, la durée de la procédure litigieuse est excessive et ne répond pas à l’exigence du «délai raisonnable». Partant, il y a eu violation de l’art. 6 § 1 CEDH. II. SUR LES AUTRES VIOLATIONS ALLÉGUÉES 33.Le requérant se plaint également d’une violation de ses droits découlant de l’art. 6 § 3 CEDH. 34.La Cour considère cependant que le requérant ne peut être considéré comme une victime au regard des garanties accordées à une personne accusée, le procureur ayant décrété un non-lieu dans sa cause pénale. 35.Il s’ensuit que ce grief est incompatible ratione personae avec les dispositions de la Convention, au sens de l’art. 35 § 3, et doit être rejeté en application de l’art. 35 § 4. III. SUR L’APPLICATION DE L’ART. 41 CEDH 36.Aux termes de l’art. 41 CEDH, (libellé de la disposition) A. Dommage 37.Le requérant réclame 5 000 000 CHF au titre du préjudice matériel et moral qu’il aurait subi. Il soutient, pour ce qui est du dommage matériel, que la procédure pénale a gravement nui à sa réputation et à son activité</w:t>
      </w:r>
    </w:p>
    <w:p>
      <w:r>
        <w:rPr>
          <w:b/>
        </w:rPr>
        <w:t>E. 8</w:t>
      </w:r>
    </w:p>
    <w:p>
      <w:r>
        <w:t>professionnelle. Quant au dommage moral subi, il invoque l’état d’anxiété et d’incertitude dans lequel il s’est trouvé pendant toute la durée de la procédure pénale ouverte à son encontre. 38.Le Gouvernement conteste ces prétentions. Pour ce qui est du dommage moral, il estime que la constatation d’une violation du droit à voir sa cause entendue dans un délai raisonnable constitue une satisfaction équitable. En ce qui concerne le dommage matériel, le gouvernement fait valoir que le requérant n’a pas avancé de prétention explicite à ce titre. 39.La Cour n’aperçoit pas de lien de causalité entre la violation constatée et le dommage matériel allégué et rejette cette demande. En revanche, la Cour estime que le requérant a subi un tort moral certain. Statuant en équité, elle lui accorde 7 000 euros (EUR) à ce titre. B. Frais et dépens 40.Le requérant demande également 499 908 CHF pour les frais et dépens encourus devant les juridictions internes et 58 485.35 EUR pour ceux encourus devant la Cour. 41.Le Gouvernement conteste ces prétentions. Il estime que seuls les frais de la procédure devant le juge d’instruction du Tessin et devant le Tribunal fédéral ont été supportés par le requérant et pourraient donc être pris en compte. Cependant, le Gouvernement estime que le requérant n’a que superficiellement satisfait à l’exigence de justification des frais auxquels il prétend. Le Gouvernement invite la Cour à verser une somme de 5 000 CHF (3 230 EUR) au requérant pour ces frais et dépens, comme ceci a déjà été le cas dans d’autres affaires suisses. 42.Selon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la somme de 3 230 EUR raisonnable, tous frais confondus, et l’accorde au requérant. C. Intérêts moratoires 43.La Cour juge approprié de baser le taux des intérêts moratoires sur le taux d’intérêt de la facilité de prêt marginal de la Banque centrale européenne majoré de trois points de pourcentage. PAR CES MOTIFS, LA COUR, À L’UNANIMITÉ, 1. Déclare la requête recevable quant au grief tiré de la durée excessive de la procédure et irrecevable pour le surplus; 2. Dit qu’il y a eu violation de l’art. 6 § 1 CEDH; 3. Dit</w:t>
      </w:r>
    </w:p>
    <w:p>
      <w:r>
        <w:rPr>
          <w:b/>
        </w:rPr>
        <w:t>E. 9</w:t>
      </w:r>
    </w:p>
    <w:p>
      <w:r>
        <w:t>a) que l’Etat défendeur doit verser au requérant, dans les trois mois à compter du jour où l’arrêt sera devenu définitif conformément à l’art. 44 § 2 CEDH, 7 000 EUR (sept mille euros) pour dommage moral et 3 230 EUR (trois mille deux cent trente euros) à titre de frais et dépens, plus tout montant pouvant être dû à titre d’impôt, sommes à convertir dans la monnaie de l’Etat défendeur au taux applicable à la date du règlement;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4. Rejette la demande de satisfaction équitable pour le surplus. [1] JAAC 66.55.</w:t>
      </w:r>
    </w:p>
    <w:p>
      <w:r>
        <w:rPr>
          <w:b/>
        </w:rPr>
        <w:t>E. 10</w:t>
      </w:r>
    </w:p>
    <w:p>
      <w:r>
        <w:t>Schweizerisches Bundesarchiv, Digitale Amtsdruckschriften Archives fédérales suisses, Publications officielles numérisées Archivio federale svizzero, Pubblicazioni ufficiali digitali JAAC 69.137 - Extrait de l'arrêt rendu par la Cour eur. DH le 12 juillet 2005, affaire Munari c / Suisse, req. n° 7957/02 In Verwaltungspraxis der Bundesbehörden Dans Jurisprudence des autorités administratives de la Confédération In Giurisprudenza delle autorità amministrative della Confederazione Jahr 2005 Année Anno Band 69 Volume Volume Seite --- Page Pagina Ref. No 150 006 842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