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68.98 vom 8. März 2004</w:t>
      </w:r>
    </w:p>
    <w:p>
      <w:r>
        <w:t>Bundesverwaltung, 2004-03-08, DE</w:t>
      </w:r>
    </w:p>
    <w:p>
      <w:r>
        <w:rPr>
          <w:b/>
        </w:rPr>
        <w:t xml:space="preserve">Quelle: </w:t>
      </w:r>
      <w:r>
        <w:t>https://mcp.opencaselaw.ch/entscheid/ch_vb_JAAC_68.98__</w:t>
      </w:r>
    </w:p>
    <w:p>
      <w:r>
        <w:t>FR: CH_VB JAAC 68.98 du 8 mars 2004</w:t>
      </w:r>
    </w:p>
    <w:p>
      <w:r>
        <w:t>IT: CH_VB JAAC 68.98 del 8 marzo 2004</w:t>
      </w:r>
    </w:p>
    <w:p>
      <w:pPr>
        <w:pStyle w:val="Heading2"/>
      </w:pPr>
      <w:r>
        <w:t>Erwägungen</w:t>
      </w:r>
    </w:p>
    <w:p>
      <w:r>
        <w:rPr>
          <w:b/>
        </w:rPr>
        <w:t>E. 1</w:t>
      </w:r>
    </w:p>
    <w:p>
      <w:r>
        <w:t>Verrechnungssteuer. Begriffe der geldwerten Leistung und der verdeckten Gewinnausschüttung. Untersuchungsprinzip. Nachträgliche Eingabe. Verwaltungsstrafrecht. Verzugszins. Verfahrenskosten zu Lasten der Beschwerdeführerin bei Gutheissung der Beschwerde. - Nachträgliche Eingaben durch die Beschwerdeführerin (Art. 57 Abs. 2 VwVG; E. 2). - Was das Beteiligungsrecht an geldwerten Leistungen abwirft, ist verrechnungssteuerlich Ertrag, unbekümmert um die Form oder die Bezeichnung. Zu den geldwerten Leistungen gehören Zuwendungen jeder Art an Aktionäre oder diesen nahe stehende Dritte, die ihren Rechtsgrund ausschliesslich im Beteiligungsverhältnis haben (Art. 4 Abs. 1 Bst. b VStG, Art. 20 Abs. 1 VStV; E. 3a-c). - Das Untersuchungsprinzip im Steuerrecht und die Mitwirkungspflicht; Beweislast (Art. 39 VStG; E. 4). - Die Beschwerdeführerin konnte nachweisen, dass sie vereinnahmte Erträge aus dem Verkauf von Debitorenforderungen erfolgswirksam verbucht hat und diese keine geldwerte Leistung an eine nahestehende Dritte waren (E. 5). - Verzinsung der Verrechnungssteuerforderung (E. 6). - Wegen Verletzung der Mitwirkungspflicht werden vorliegend die Verfahrenskosten der Beschwerdeführerin bei (teilweiser) Gutheissung der Beschwerde belastet (Art. 63 VwVG; E. 7). Imposta preventiva. Nozioni di prestazione valutabile in denaro e di distribuzione dissimulata di utili. Massima inquisitoria. Osservazioni complementari. Diritto penale amministrativo. Interesse di mora. Costi di procedura a carico della ricorrente in caso di ammissione del ricorso. - Osservazioni complementari da parte della ricorrente (art. 57 cpv. 2 PA; consid. 2). - Tutto quanto prodotto dal diritto di partecipazione come prestazioni valutabili in denaro costituisce un reddito ai sensi dell’imposta preventiva, indipendentemente dalla forma o dalla definizione. Rappresentano prestazioni valutabili in denaro anche i versamenti di ogni genere ad azionari o a terzi a loro vicini, se la base giuridica di tali versamenti si trova esclusivamente nel rapporto di partecipazione (art. 4 cpv. 1 lett. b LIP, art. 20 cpv. 1 OIPrev; consid. 3a-c). - La massima inquisitoria nel diritto fiscale e il dovere di collaborazione; onere della prova (art. 39 LIP; consid. 4). - La ricorrente ha potuto provare che ha effettivamente contabilizzato i redditi provenienti dalla vendita di crediti e che non si trattava di prestazioni valutabili in denaro a persone vicine (consid. 5). - Interesse di mora del credito d’imposta preventiva (consid. 6).</w:t>
      </w:r>
    </w:p>
    <w:p>
      <w:r>
        <w:rPr>
          <w:b/>
        </w:rPr>
        <w:t>E. 2</w:t>
      </w:r>
    </w:p>
    <w:p>
      <w:r>
        <w:t>- Nella fattispecie, a causa della violazione del dovere di collaborazione, i costi di procedura sono messi a carico della ricorrente malgrado il ricorso sia stato (parzialmente) accolto (art. 63 PA; consid. 7). Zusammenfassung des Sachverhalts: A. Die X AG mit Sitz in Z. bezweckt den Erwerb, die Überbauung, Verwaltung und Veräusserung von Grundstücken sowie die Übernahme von Projektierungsaufgaben auf dem Gebiete des Rohrleitungsbaus und der Wärmetechnik für Industrieanlagen und Wohnungsbau. Mit Schreiben vom 4. Juni 1996 teilte die Eidgenössische Steuerverwaltung, Hauptabteilung Direkte Bundessteuer, Verrechnungssteuer, Stempelabgaben (ESTV), der X AG mit, sie prüfe gegenwärtig ihre Jahresrechnungen 1991 bis 1994 und bitte sie um Einreichung der Buchhaltungsunterlagen für diese Geschäftsjahre mit sämtlichen Belegen, um Bekanntgabe der Aktionärsverhältnisse der Gesellschaft und um Mitteilung, ob die Aktionärsverhältnisse in der Zeit ab 1991 gewechselt hätten. Falls ja, werde sie ersucht, den Zeitpunkt des Aktionärswechsels bekannt zu geben sowie den Aktienkaufvertrag und die dem Handwechsel zugrunde liegende Bilanz zuzustellen. Nach erfolgter Mahnung und Androhung eines Strafverfahrens teilte Y, Steuer- und Wirtschaftsberater, der ESTV am 5. Dezember 1996 mit, er könne ihr als Verwaltungsrat der X AG bestätigen, dass die Aktionärsverhältnisse in den Jahren seit 1991 nicht gewechselt hätten. Die beiden andern Auflagen werde er in den kommenden zwei bis drei Wochen erledigen. Mit Schreiben vom 12. Dezember 1997 unterbrach die ESTV gegenüber der X AG die Verjährung für allenfalls im Jahre 1992 durch nicht verbuchte Einnahmen erbrachte steuerbare Leistungen. Da die von der Verwaltung einverlangten Buchhaltungsunterlagen bis dahin immer noch nicht eingereicht worden waren, stellte die ESTV der X AG mit Schreiben vom 8. April 1999 einen Verrechnungssteuerbetrag von Fr. 21’567.- (35% von Fr. 61’620.-) zuzüglich Verzugszins in Rechnung. Zur Begründung ihrer Forderung hielt die Verwaltung im Wesentlichen fest, anlässlich einer Kontrolle bei der Firma B AG habe sie festgestellt, dass im Geschäftsjahr 1992 Beträge von insgesamt Fr. 61’620.- an die X AG bezahlt worden seien, deren ordnungsgemässe Verbuchung bisher nicht habe nachgewiesen werden können. Deshalb sei davon auszugehen, dass die X AG zugunsten ihrer Aktionäre auf Einnahmen verzichtet habe und diesen damit geldwerte Leistungen erbracht habe, welche der Verrechnungssteuer unterliegen. In der Folge stellte die X AG die Einreichung von Unterlagen in Aussicht, wobei sie geltend machte, infolge gesundheitlicher Probleme ihres Geschäftsführers und (einzigen) Verwaltungsrats Y benötige sie noch mehr Zeit. Die Angelegenheit werde aber bis allerspätestens Ende Januar 2000 bereinigt. Nachdem sie bis zu diesem Zeitpunkt keinerlei Nachricht von der Steuerpflichtigen erhalten hatte, stellte die ESTV am 1. März 2000 beim Betreibungsamt Z. ein Betreibungsbegehren über den Betrag von Fr. 21’567.- Verrechnungssteuer nebst Zins zu 5% seit 1. März 2000 und Fr. 8’584.20 Zins, berechnet vom 1. Januar 1993 bis zum 29. Februar 2000. Gegen den Zahlungsbefehl des Betreibungsamtes Z. vom 7. März 2003 erhob die X AG am</w:t>
      </w:r>
    </w:p>
    <w:p>
      <w:r>
        <w:rPr>
          <w:b/>
        </w:rPr>
        <w:t>E. 3</w:t>
      </w:r>
    </w:p>
    <w:p>
      <w:r>
        <w:t>24. März 2000 Rechtsvorschlag. Daraufhin bestätigte die ESTV mit Entscheid vom 17. Mai 2000 ihre Verrechnungssteuerforderung zuzüglich Verzugszins und Betreibungskosten. Ferner hielt sie fest, durch den Entscheid werde der in der Betreibung des Betreibungsamtes Z. erhobene Rechtsvorschlag beseitigt. Zur Begründung ihrer Verfügung verwies die Verwaltung auf die Steuerrechnung vom 8. April 1999. B. Gegen diesen Entscheid erhob die X AG mit Schreiben vom 15. Juni 2000 bei der ESTV Einsprache, mit dem Antrag, der Entscheid sei aufzuheben. Für die Beibringung der Begründung werde um Einräumung einer Nachfrist von 10 Tagen bzw. bis zum 26. Juni 2000 ersucht. Per Telefax teilte die ESTV daraufhin der X AG am 16. Juni 2000 mit, ihr Schreiben vom 15. Juni 2000 gelte nicht als Einsprache und wahre die entsprechende, nicht verlängerbare Frist nicht, da nicht daraus hervorgehe, warum der angefochtene Entscheid aufzuheben sei und eine zumindest summarische Begründung fehle. Eine Nachfrist könnte nur bei rechtzeitigem Eingang einer formrichtigen Einsprache gewährt werden. Mit Eingabe vom 19. Juni 2000 bestätigte die Steuerpflichtige ihre Einsprache, welche sie nunmehr summarisch damit begründete, dass der Betrag von Fr. 61’620.-, welcher der Steuerforderung zugrunde liege, nicht bezahlt, sondern lediglich gutgeschrieben worden sei, unter der Bedingung, dass der X AG dubiose Forderungen der B AG gegenüber verschiedenen Klienten abgetreten werden könnten. Für die Beibringung der Belege werde um Einräumung einer Nachfrist ersucht. Am 26. Juni 2000 reichte die X AG innert der ihr von der ESTV angesetzten Nachfrist den Ausdruck eines Kontoblattes ihrer Buchhaltung des Jahres 1992 (Konto «Erlös aus Arbeiten») ein, wobei sie festhielt, daraus sei ersichtlich, dass der in Frage stehende Betrag von Fr. 61’620.- vollumfänglich als Erlös gebucht worden sei. C. Mit Schreiben vom 13. Oktober 2000 ersuchte die ESTV die X AG um detailliertere Informationen, insbesondere um Zustellung des Vertrages betreffend die geltend gemachten Forderungsabtretungen samt den jeweiligen Einzelbelegen und um Angaben dazu, was mit den von ihr erwähnten dubiosen Forderungen in der Folge geschehen sei. Auch seien die bereits früher einverlangten Buchhaltungsunterlagen für die Geschäftsjahre 1991 bis 1994 mit sämtlichen Belegen und die ausstehenden Jahresabschlüsse 1997, 1998 und 1999 einzureichen. Nachdem innert zweimal erstreckter Frist keine Unterlagen eingegangen waren, bestätigte die ESTV mit Einspracheentscheid vom 20. August 2002 ihre Forderung von Fr. 21’567.- Verrechnungssteuer zuzüglich Verzugszins und Betreibungskosten sowie die Aufhebung des Rechtsvorschlags in der Betreibung des Betreibungsamtes Z. Den Beginn des Zinsenlaufs setzte sie - ausgehend vom eingereichten Kontoblatt «Erlös aus Arbeiten» und den daraus ersichtlichen Buchungsdaten - wie folgt fest: - für einen Teilbetrag von Fr. 12’300.75 auf den 20. September 1992; - für einen Teilbetrag von Fr. 1’627.50 auf den 17. Oktober 1992; - für einen Teilbetrag von Fr. 1’842.75 auf den 6. November 1992; - für einen Teilbetrag von Fr. 3’055.50 auf den 14. Januar 1993 und - für einen Teilbetrag von Fr. 2’740.50 auf den 15. Januar 1993. Zur Begründung des Einspracheentscheides vom 20. August 2002 hielt die Verwaltung namentlich fest, sie habe anlässlich einer Buchprüfung festgestellt, dass die B AG zu Gunsten der X AG Aufwendungen von insgesamt Fr. 61’620.-</w:t>
      </w:r>
    </w:p>
    <w:p>
      <w:r>
        <w:rPr>
          <w:b/>
        </w:rPr>
        <w:t>E. 4</w:t>
      </w:r>
    </w:p>
    <w:p>
      <w:r>
        <w:t>verbucht habe. Die X AG könne die ordnungsgemässe Verbuchung dieser Beträge nicht nachweisen. Sie sei ihrer Auskunfts- und Mitwirkungspflicht nicht nachgekommen, indem sie - ausser den Jahresrechnungen - die einverlangten Buchhaltungsunterlagen für die Jahre 1991 bis 1994 trotz mehrmaliger Aufforderung nicht vorgelegt habe. Aufgrund der gesamten Umstände müsse die ESTV daher davon ausgehen, dass sie zugunsten ihrer Aktionäre auf diese Einnahmen verzichtet und diesen damit eine nach Art. 4 Abs. 1 des Bundesgesetzes über die Verrechnungssteuer vom 13. Oktober 1965 (VStG, SR 642.21) und Art. 20 Abs. 1 der Vollziehungsverordnung zum Bundesgesetz über die Verrechnungssteuer vom 19. Dezember 1966 (VStV, SR 642.211) der Verrechnungssteuer unterliegende geldwerte Leistungen erbracht habe. Auf Grund des einzelnen, von der X AG eingereichten Kontoblattes («Erlös aus Arbeiten») könne der Sachverhalt nicht abschliessend beurteilt werden, da weder die Gegenbuchungen noch die Stimmigkeit mit der gesamten Buchhaltung überprüft werden könnten. Es müsse davon ausgegangen werden, dass das der ESTV am 26. Juni 2000 in Kopie nachgereichte Kontoblatt nachträglich erstellt worden sei. Auch sei es unwahrscheinlich, dass die X AG von der B AG Forderungen gegenüber dubiosen Debitoren übernommen habe. Da die X AG den objektiven Tatbestand der Steuerhinterziehung erfüllt habe, indem sie ihren Aktionären geldwerte Leistungen habe zukommen lassen, ohne die hierfür geschuldete Verrechnungssteuer spontan zu deklarieren oder zu entrichten, könne von ihr - gestützt auf Art. 12 Abs. 1 des Bundesgesetzes über das Verwaltungsstrafrecht vom 22. März 1974 (VStrR, SR 313.0) - die Verrechnungssteuer samt Zins ab Fälligkeit der Steuerforderung nachgefordert werden. D. Mit Eingabe vom 19. September 2002 erhob die X AG (Beschwerdeführerin) gegen den Einspracheentscheid vom 20. August 2002 Beschwerde bei der Eidgenössischen Steuerrekurskommission (SRK). Sie beantragte, der angefochtene Einspracheentscheid sei aufzuheben, unter Kostenfolge zu Lasten der Verwaltung. Zur Begründung dieses Begehrens hielt sie im Wesentlichen fest, aus dem Kontoblatt «Erlös aus Arbeiten» gehe eindeutig hervor, dass der Betrag von Fr. 61’620.- - entgegen den Behauptungen der ESTV - ordnungsgemäss verbucht worden sei, unter Anrufung des Gegenkontos «Kontokorrent B AG». Zur Vervollständigung werde ebenfalls noch die Vereinbarung betreffend die abgetretenen Kundenforderungen zwischen ihr und der B AG eingereicht. Es sei ihr unverständlich, wie die Verwaltung behaupten könne, dass das Konto «Erlös aus Arbeiten 1992» nachträglich, also nach dem Bilanzausdruck aus dem Computer, erstellt worden sei. Der Jahresabschluss per 31. Dezember 1992 sei mit Formular 103 der ESTV am 17. Oktober 1994 zugestellt worden. Es sei ja wohl üblich, dass sich die Bilanz aus der vorher nachgeführten Buchhaltung ergebe. Bei minimaler Aufmerksamkeit wäre es für die Vorinstanz ein Leichtes gewesen, festzustellen, dass der Saldo des Kontoblattes in die Gewinn- und Verlustrechnung 1992 eingeflossen sei. Von einer so genannten Ausgleichsbuchung, wie sie ihr die Vorinstanz unterschieben wolle, könne überhaupt keine Rede sein. Die ESTV beantragte in ihrer Vernehmlassung vom 15. November 2002 die kostenpflichtige Abweisung der Beschwerde. Zur Begründung dieses Antrages führte sie im Wesentlichen aus, bei den von der Beschwerdeführerin eingereichten Kopien der Bilanz, der Erfolgsrechnung und der Kontoblätter des Geschäftsjahres 1992 handle es sich um neu erstellte Unterlagen, was</w:t>
      </w:r>
    </w:p>
    <w:p>
      <w:r>
        <w:rPr>
          <w:b/>
        </w:rPr>
        <w:t>E. 5</w:t>
      </w:r>
    </w:p>
    <w:p>
      <w:r>
        <w:t>daraus hervorgehe, dass sich die Bilanz und die Erfolgsrechnung bereits rein optisch von den seinerzeit eingereichten Unterlagen unterscheiden würden. Zudem seien die einzelnen Buchungen respektive die Gegenbuchungen in den verschiedenen Aufwand- und Erlöskonten grösstenteils nicht nachvollziehbar. Erteile die Steuerpflichtige ungenügende oder widersprüchliche Auskünfte, so dürfe ihr daraus nicht ein Steuervorteil erwachsen und sie dürfe sich nicht darüber beschweren, dass die Verwaltung den Sachverhalt aufgrund von Indizien (einschliesslich ihres Verhaltens) feststelle. Die eingereichten «Buchhaltungsunterlagen» vermöchten nicht rechtsgenüglich zu beweisen, dass die der Beschwerdeführerin von der B AG überwiesenen Beträge ordnungsgemäss verbucht worden seien. Auch habe die Beschwerdeführerin nicht darlegen können, aus welchem Rechtsgrund ihr die B AG die fraglichen Zahlungen hätte überweisen bzw. gutschreiben sollen. E. In einer unaufgefordert eingereichten Stellungnahme zur Vernehmlassung der ESTV vom 2. Dezember 2002 bestritt die X AG, dass es sich bei den mit ihrer Beschwerde eingereichten Buchhaltungsunterlagen um neu erstellte Dokumente gehandelt habe. Wie dem beiliegenden Schreiben der A AG vom 25. November 2002 entnommen werden könne, sei die Finanzbuchhaltungs-Version ihrer Abacus-Buchhaltung mehrmals geändert und den neuen Anforderungen angepasst worden, was zu Darstellungsänderungen der ursprünglich eingegebenen Daten, nicht aber zu einer Veränderung derselben geführt habe. Die neu ausgedruckten Unterlagen seien ausnahmslos bereits gespeichert gewesen, als im Oktober 1994 der Abschluss per Ende 1992 erstellt und zusammen mit dem Formular 103 der ESTV zugestellt worden sei. Zahlungen oder Überweisungen der B AG habe es nicht gegeben. Zwischen dieser Firma und der Steuerpflichtigen habe vielmehr ein Kontokorrent-Verhältnis bestanden, in welchem die gegenseitigen Ansprüche und Verpflichtungen laufend festgehalten worden seien und welches per Ende 1992 mit einem Guthaben gegenüber der B AG in der Höhe von Fr. 6’304.80 abgeschlossen habe. Dieses Konto sei in der Bilanz ordnungsgemäss aufgeführt worden. Für irgendwelche geldwerten Leistungen an den Aktionär würden keinerlei Indizien vorliegen. Dass bei der Erstellung des Abschlusses per Ende 1992 die am 25. November 1993 vereinbarte rückwirkende Belastung der abgetretenen dubiosen Forderungen berücksichtigt worden sei, entspreche der getroffenen Vereinbarung, sei doch in den Vertrag der Vermerk «mit der Übertragung auf Konto X AG 1992 einverstanden» aufgenommen worden. Dies sei daher selbstverständlich und in keiner Weise zu beanstanden. Mit Schreiben vom 19. Dezember 2002 nahm die ESTV zu dieser Eingabe der Beschwerdeführerin innert der ihr angesetzten Frist Stellung, wobei sie bezüglich des Sachverhalts, der rechtlichen Würdigung und der Anträge auf die Ausführungen im Einspracheentscheid und in der Vernehmlassung vom 15. November 2002 verwies, an deren Argumentation sie weiterhin festhalte. Aus den Erwägungen: 1. (Formelles) 2. Die ESTV hält in ihrer Stellungnahme vom 19. Dezember 2002 zur unaufgefordert eingereichten Eingabe der Beschwerdeführerin vom 2. Dezember 2002 an die SRK fest, sie reiche diese ein, ohne sich darüber zu äussern, ob auf die neuen Beweismittel der Beschwerdeführerin einzutreten</w:t>
      </w:r>
    </w:p>
    <w:p>
      <w:r>
        <w:rPr>
          <w:b/>
        </w:rPr>
        <w:t>E. 6</w:t>
      </w:r>
    </w:p>
    <w:p>
      <w:r>
        <w:t>sei und ob ihre Antwort als Replik auf eine Duplik der Beschwerdeführerin im Sinne von Art. 57 Abs. 2 des Bundesgesetzes über das Verwaltungsverfahren vom 20. Dezember 1968 (VwVG, SR 172.021) in Verbindung mit Art. 20 Abs. 2 der Verordnung über Organisation und Verfahren eidgenössischer Rekurs- und Schiedskommissionen vom 3. Februar 1993 (VRSK, SR 173.31) und Art. 42a VStG zu qualifizieren sei. Die Eventualmaxime, wonach die Parteien verpflichtet sind, bis zu einem bestimmten Verfahrensabschnitt sämtliche Begehren, also auch die Eventualbegehren, sowie die dazu gehörenden tatsächlichen Behauptungen und Beweismittel vorzubringen, gilt im Verwaltungsbeschwerdeverfahren höchstens insoweit, als der Antrag sämtliche Begehren und Eventualbegehren enthalten muss. Der Untersuchungsgrundsatz schliesst dagegen in sich, dass später Nachgetragenes berücksichtigt werden kann, wenn auch nicht muss (Alfred Kölz/Isabelle Häner, Verwaltungsverfahren und Verwaltungsrechtspflege des Bundes, 2. Auflage, Zürich 1998, S. 38 Rz. 108, mit Hinweisen; Fritz Gygi, Bundesverwaltungsrechtspflege, 2. Auflage, Bern 1983, S. 67, mit Hinweis). Teilweise wird sogar die Auffassung vertreten, ein Tatbestandselement, welches sich als ausschlaggebend erweist, müsse Beachtung finden, gleichgültig wie und wann die entscheidende Behörde davon Kenntnis erhalten hat (Peter Saladin, Das Verwaltungsverfahrensrecht des Bundes, Basel und Stuttgart 1979, S. 141 und 151; vgl. auch André Moser, in: Moser/Uebersax, Prozessieren vor eidgenössischen Rekurskommissionen, Basel/Frankfurt a.M. 1998, S. 74 Rz. 2.80). Daran vermag auch der Umstand nichts zu ändern, dass Art. 32 Abs. 2 VwVG, der die Möglichkeit der Berücksichtigung verspäteter Parteivorbringen ausdrücklich vorsieht, zu den Bestimmungen gehört, welche als auf das Steuerverfahren nicht anwendbar erklärt werden (Art. 2 Abs. 1 VwVG), ergibt sich doch dasselbe wie gesagt bereits direkt aus dem Untersuchungsgrundsatz. Im Übrigen kann die Beschwerdeinstanz die Parteien auf jeder Stufe des Verfahrens zu einem weiteren Schriftenwechsel einladen. Der Berücksichtigung der unaufgefordert eingereichten Stellungnahme der Beschwerdeführerin vom 2. Dezember 2002 zur Vernehmlassung der ESTV vom 15. November 2002 (vgl. dazu auch Moser, a.a.O., S. 103 f. Rz. 3.35) und der als Beilage dazu ins Recht gelegten Unterlagen (Brief der A AG vom 25. November 2002; Fotokopien verschiedener Rechnungen der Beschwerdeführerin an die B AG für ausgeführte Arbeiten) durch die SRK steht somit grundsätzlich nichts im Wege. Die SRK hat im Übrigen dadurch, dass sie der ESTV mit Schreiben vom 5. Dezember 2002 Gelegenheit gegeben hat, zur Eingabe der Beschwerdeführerin vom 2. Dezember 2002 ihrerseits nochmals eine Stellungnahme abzugeben, bereits zum Ausdruck gebracht, dass sie bereit ist, die von der Beschwerdeführerin unaufgefordert eingereichten Bemerkungen und Belege nötigenfalls zu berücksichtigen. Es kann in diesem Zusammenhang offen gelassen werden, ob die gewählte Vorgehensweise als Durchführung eines zweiten Schriftenwechsels im Sinne von Art. 57 Abs. 2 VwVG zu qualifizieren ist oder nicht. 3.a. Der Bund erhebt unter anderem eine Verrechnungssteuer auf dem Ertrag beweglichen Kapitalvermögens (Art. 1 Abs. 1 VStG). Gegenstand dieser Steuer sind die Zinsen, Renten, Gewinnanteile und sonstigen Erträge der von einem Inländer ausgegebenen Obligationen, Serienschuldbriefe, Seriengülten und Schuldbuchguthaben sowie Aktien, Anteile an Gesellschaften mit beschränkter</w:t>
      </w:r>
    </w:p>
    <w:p>
      <w:r>
        <w:rPr>
          <w:b/>
        </w:rPr>
        <w:t>E. 7</w:t>
      </w:r>
    </w:p>
    <w:p>
      <w:r>
        <w:t>Haftung, Genossenschaftsanteile, Partizipationsscheine und Genussscheine, der von einem Inländer oder von einem Ausländer in Verbindung mit einem Inländer ausgegebenen Anteile an einem Anlagefonds oder an einem Vermögen ähnlicher Art sowie der Kundenguthaben bei inländischen Banken und Sparkassen (Art. 4 Abs. 1 VStG). Steuerpflichtig ist nach Art. 10 Abs. 1 VStG der Schuldner der steuerbaren Leistung. Diese ist bei der Auszahlung, Überweisung, Gutschrift oder Verrechnung ohne Rücksicht auf die Person des Gläubigers um den Steuerbetrag zu kürzen (Art. 14 Abs. 1 VStG). b. Gemäss Art. 4 Abs. 1 Bst. b VStG unterliegen der Verrechnungssteuer unter anderem die Zinsen, Renten, Gewinnanteile und sonstigen Erträge der von einem Inländer ausgegebenen Aktien. Nach Art. 20 Abs. 1 VStV gilt als steuerbarer Ertrag von Aktien jede geldwerte Leistung der Gesellschaft an die Inhaber gesellschaftlicher Beteiligungsrechte oder ihnen nahestehende Dritte, die sich nicht als Rückzahlung der im Zeitpunkt der Leistung bestehenden Anteile am einbezahlten Grundkapital darstellen. Gegenstand der Verrechnungssteuer sind somit nicht bloss Leistungen aus dem handelsrechtlich verteilungsfähigen Reingewinn einer Aktiengesellschaft; massgebend ist einzig und allein, ob eine auf dem Beteiligungsrecht beruhende, aus ihm fliessende geldwerte Leistung vorliegt. Was das Beteiligungsrecht an geldwerten Leistungen abwirft, ist verrechnungssteuerlich Ertrag, unbekümmert um die Form oder Bezeichnung und ohne Rücksicht auf die Herkunft der Mittel (W. Robert Pfund, Die Eidgenössische Verrechnungssteuer, I. Teil, Basel 1971, N. 3.12 zu Art. 4 Abs. 1 Bst. b VStG; Ernst Höhn/Robert Waldburger, Steuerrecht, Band I, 9. Auflage, Bern 2001, § 21 N. 9 ff.). Zu den geldwerten Leistungen in diesem Sinne gehören bei Aktiengesellschaften neben den aufgrund eines entsprechenden Gewinnverteilungsbeschlusses ausgerichteten Dividenden, allfälligen ausserordentlichen Ausschüttungen (Bonus usw.), den Bauzinsen, dem Liquidationsüberschuss anlässlich der Auflösung der Gesellschaft (soweit nicht in einer Rückzahlung der Anteile am einbezahlten Aktienkapital bestehend), der Ausgabe von Gratisaktien und dergleichen, insbesondere auch die üblicherweise (namentlich im Recht der direkten Steuern der Kantone und neu auch des Bundes; vgl. Art. 58 Abs. 1 Bst. b des Bundesgesetzes über die direkte Bundessteuer vom 14. Dezember 1990 [DBG], SR 642.11) als «verdeckte Gewinnausschüttungen» bezeichneten Leistungen. Nach der bereits unter früherem Recht (Bundesgesetz betreffend die Stempelabgaben auf Coupons vom 25. Juni 1921, BS 6 127; Bundesratsbeschluss über die Verrechnungssteuer vom 1. September 1943, BS 6 326) entwickelten, grundsätzlich auch unter dem Recht des heutigen Verrechnungssteuergesetzes weiterhin massgebenden Rechtsprechung (vgl. insbesondere Archiv für Schweizerisches Abgaberecht [ASA] 61 S. 540 f. E. 2), ist eine solche «verdeckte Gewinnausschüttung» bei Vorliegen der folgenden Voraussetzungen gegeben (zum Begriff «geldwerte Leistung» vgl. Francis Cagianut/Ernst Höhn, Unternehmenssteuerrecht, 3. Auflage, Bern 1993, § 12 Rz. 50 ff.; Barbara Desax, Die Behandlung von Leistungsbeziehungen zu unangemessenen Bedingungen [geldwerte Leistungen und verdeckte Kapitaleinlagen] im Rahmen der risikoorientierten Abschlussprüfung, Zürich 2000, S. 10 f.; zum</w:t>
      </w:r>
    </w:p>
    <w:p>
      <w:r>
        <w:rPr>
          <w:b/>
        </w:rPr>
        <w:t>E. 8</w:t>
      </w:r>
    </w:p>
    <w:p>
      <w:r>
        <w:t>Begriff «verdeckte Gewinnausschüttung» Cagianut/Höhn, a.a.O., § 12, S. 462 f. Rz. 63 f.; zum Begriff «Gewinnvorwegnahme» Cagianut/Höhn, a.a.O., § 12, S. 465 f. Rz. 68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