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68.79 vom 18. Februar 2002</w:t>
      </w:r>
    </w:p>
    <w:p>
      <w:r>
        <w:t>Bundesverwaltung, 2002-02-18, DE</w:t>
      </w:r>
    </w:p>
    <w:p>
      <w:r>
        <w:rPr>
          <w:b/>
        </w:rPr>
        <w:t xml:space="preserve">Quelle: </w:t>
      </w:r>
      <w:r>
        <w:t>https://mcp.opencaselaw.ch/entscheid/ch_vb_JAAC_68.79__</w:t>
      </w:r>
    </w:p>
    <w:p>
      <w:r>
        <w:t>FR: CH_VB JAAC 68.79 du 18 février 2002</w:t>
      </w:r>
    </w:p>
    <w:p>
      <w:r>
        <w:t>IT: CH_VB JAAC 68.79 del 18 febbraio 2002</w:t>
      </w:r>
    </w:p>
    <w:p>
      <w:pPr>
        <w:pStyle w:val="Heading2"/>
      </w:pPr>
      <w:r>
        <w:t>Erwägungen</w:t>
      </w:r>
    </w:p>
    <w:p>
      <w:r>
        <w:rPr>
          <w:b/>
        </w:rPr>
        <w:t>E. 1</w:t>
      </w:r>
    </w:p>
    <w:p>
      <w:r>
        <w:t>«Compliance-Mechanismus» und multilaterale Umweltübereinkommen «Compliance-Mechanismen» wurden bereits unter verschiedenen multilateralen Umweltübereinkommen entwickelt oder sind zur Zeit in Ausarbeitung. Ihre Errichtung kann entweder im entsprechenden Abkommen selbst vorgesehen sein oder nach Inkrafttreten desselben durch die Vertragsparteien beschlossen werden. Zur Zeit kennen folgende Umweltübereinkommen einen «Compliance-Mechanismus»: - Übereinkommen vom 3. März 1973 über den internationalen Handel mit gefährdeten Arten freilebender Tiere und Pflanzen (CITES, SR 0.453); - Übereinkommen vom 13. November 1979 über weiträumige grenzüberschreitende Luftverunreinigung (SR 0.814.32); - Übereinkommen vom 19. September 1979 über die Erhaltung der europäischen wildlebenden Pflanzen und Tiere und ihrer natürlichen Lebensräume (SR 0.455); - Montrealer Protokoll vom 16. September 1987 über Stoffe, die zu einem Abbau der Ozonschicht führen (SR 0.814.021); - Basler Übereinkommen vom 22. März 1989 über die Kontrolle der grenzüberschreitenden Verbringung gefährlicher Abfälle und ihrer Entsorgung (SR 0.814.05); - Übereinkommen vom 25. Februar 1991 über die Umweltverträglichkeitsprüfung im grenzüberschreitenden Rahmen (SR 0.814.06); - Übereinkommen vom 7. November 1991 zum Schutz der Alpen (Alpenkonvention, SR 0.700.1); - Convention sur l’accès à l’information, la participation du public au pro-cessus décisionnel et l’accès à la justice en matière d’environnement (Aar-hus, 25 juin 1998) Im Rahmen anderer Umweltübereinkommen wird ein «Compliance-Mechanismus» zur Zeit erarbeitet oder steht kurz vor dem Abschluss: - Protokoll von Kyoto vom 11. Dezember 1997 zum Rahmenübereinkommen der Vereinten Nationen über Klimaänderungen;</w:t>
      </w:r>
    </w:p>
    <w:p>
      <w:r>
        <w:rPr>
          <w:b/>
        </w:rPr>
        <w:t>E. 2</w:t>
      </w:r>
    </w:p>
    <w:p>
      <w:r>
        <w:t>«Compliance-Mechanismus» und Streitbeilegungsverfahren Umweltübereinkommen enthalten in der Regel eine Bestimmung über die Beilegung von Streitigkeiten, die sich aus der Auslegung und Anwendung der jeweiligen Abkommen ergeben können. Soweit überblickbar, gelangen Streitbeilegungsmechanismen in Umweltübereinkommen in der Praxis kaum zur Anwendung. Die hauptsächlichen Gründe hierfür dürften darin zu erblicken sein, dass Streitbeilegungsverfahren teuer und von langer Dauer sind. Auch setzen sie üblicherweise die vorgängige Einwilligung aller betroffenen Vertragsparteien zur Durchführung eines Schiedsverfahrens voraus und enthalten keinen Sanktionenkatalog, welcher die Umsetzung des Schiedsspruchs durch die betroffene Vertragspartei gewährleisten würde. Schliesslich sind sie aufgrund ihres konfrontativen Charakters geeignet, nachhaltige Störungen im bilateralen Verhältnis zweier Vertragsparteien zu provozieren. Überdies führt ein Streitbeilegungsverfahren in der Regel zu einer ex-post-Betrachtung und kann bestenfalls damit enden, dass dem das Völkerrecht verletzenden Staat die Wiederherstellung des vorigen Zustandes bzw. angemessener Schadenersatz aufgetragen wird, was vor allem in Fällen irreversibler (Umwelt-)Schäden wenig zufriedenstellend ist. Die unter verschiedenen Umweltübereinkommen ausgearbeiteten «Compliance-Mechanismen» setzen bei diesen skizzierten Nachteilen eines Streitbeilegungsverfahrens ein. Dabei gilt es zu betonen, dass sie unabhängig von solchen Verfahren sind und auch keine institutionalisierte Vorstufe zu einem solchen bilden. Hingegen haben sie zum Ziel, mögliche Streitpunkte, welche sich aus der Umsetzung von Vertragsverpflichtungen ergeben können, im Ansatz zu erfassen und im Geiste der Zusammenarbeit unter den betroffenen Staaten zu lösen.</w:t>
      </w:r>
    </w:p>
    <w:p>
      <w:r>
        <w:rPr>
          <w:b/>
        </w:rPr>
        <w:t>E. 3</w:t>
      </w:r>
    </w:p>
    <w:p>
      <w:r>
        <w:t>- Dem «Compliance-Mechanismus» liegt ein Berichtsverfahren zugrunde, welches die Vertragsparteien nach einheitlichen Kriterien verpflichtet, in regelmässigen Abständen über die Umsetzung von internationalen Verpflichtungen Rechenschaft abzulegen. - In aller Regel wird ein besonderes Gremium (zusammengesetzt aus Staatenvertretern oder unabhängigen Experten, so genanntes «Compliance Committee») mit der Überprüfung der Umsetzung von vertraglichen Verpflichtungen betraut. - Die Entscheidung über Massnahmen gegenüber Vertragsparteien, welche ihren Umsetzungsverpflichtungen nur ungenügend nachkommen, obliegt üblicherweise der Vertragsparteienkonferenz. - Vor allem im Rahmen der grossen multilateralen Vertragswerke kommt der Vertrauensbildung eine grosse Bedeutung zu. «Compliance Committees» müssen sich als unabhängige, auf Konsens und Zusammenarbeit ausgerichtete Institution etablieren und die Vertragsparteien müssen sich oft an die Tatsache gewöhnen, dass ihr nationaler Umsetzungsprozess einer regelmässigen Überprüfung unterzogen wird.</w:t>
      </w:r>
    </w:p>
    <w:p>
      <w:r>
        <w:rPr>
          <w:b/>
        </w:rPr>
        <w:t>E. 4</w:t>
      </w:r>
    </w:p>
    <w:p>
      <w:r>
        <w:t>Schweizerisches Bundesarchiv, Digitale Amtsdruckschriften Archives fédérales suisses, Publications officielles numérisées Archivio federale svizzero, Pubblicazioni ufficiali digitali JAAC 68.79 - Gutachten der Direktion für Völkerrecht vom 18. Februar 2002 In Verwaltungspraxis der Bundesbehörden Dans Jurisprudence des autorités administratives de la Confédération In Giurisprudenza delle autorità amministrative della Confederazione Jahr 2004 Année Anno Band 68 Volume Volume Seite --- Page Pagina Ref. No 150 006 650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