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68.5 vom 19. August 2003</w:t>
      </w:r>
    </w:p>
    <w:p>
      <w:r>
        <w:t>Bundesverwaltung, 2003-08-19, DE</w:t>
      </w:r>
    </w:p>
    <w:p>
      <w:r>
        <w:rPr>
          <w:b/>
        </w:rPr>
        <w:t xml:space="preserve">Quelle: </w:t>
      </w:r>
      <w:r>
        <w:t>https://mcp.opencaselaw.ch/entscheid/ch_vb_JAAC_68.5__</w:t>
      </w:r>
    </w:p>
    <w:p>
      <w:r>
        <w:t>FR: CH_VB JAAC 68.5 du 19 août 2003</w:t>
      </w:r>
    </w:p>
    <w:p>
      <w:r>
        <w:t>IT: CH_VB JAAC 68.5 del 19 agosto 2003</w:t>
      </w:r>
    </w:p>
    <w:p>
      <w:pPr>
        <w:pStyle w:val="Heading2"/>
      </w:pPr>
      <w:r>
        <w:t>Erwägungen</w:t>
      </w:r>
    </w:p>
    <w:p>
      <w:r>
        <w:rPr>
          <w:b/>
        </w:rPr>
        <w:t>E. 1</w:t>
      </w:r>
    </w:p>
    <w:p>
      <w:r>
        <w:t>Politecnico federale di Zurigo. Disdetta di un rapporto di lavoro di durata determinata. Transazione giudiziale. Rappresentanza da parte di un avvocato. - La transazione giudiziale avrebbe dovuto porre fine alla lite risp. all’incertezza riguardo alle conseguenze della disdetta del rapporto di lavoro di durata determinata. Un’impugnazione della transazione a causa di un errore è quindi esclusa, nella misura in cui lo scopo della transazione era proprio quello di eliminare le incertezze concernenti il futuro versamento di indennità giornaliere di malattia o la continuazione del versamento del salario dopo la disdetta (consid. 1e). - L’avvocato è considerato come rappresentante diretto ai sensi dell’art. 32 CO. Se, sulla base della procura, egli è legittimato anche a concludere transazioni, la sua firma è sufficiente perché la transazione giudiziale abbia valore giuridico (consid. 1c). Zusammenfassung des Sachverhalts: A. Mit Verfügung vom 12. Dezember 2001 löste die Eidgenössische Technische Hochschule Zürich (ETHZ) das bis zum 30. April 2002 befristete Anstellungsverhältnis mit X. aus wichtigem Grund fristlos auf. Der Rat der Eidgenössischen Technischen Hochschulen (ETH-Rat) bestätigte diesen Entscheid auf Beschwerde hin am 4. Juli 2002. Hiergegen gelangte X., vertreten durch Rechtsanwältin Y. und Rechtsanwalt Z., mit Beschwerde an die Eidgenössische Personalrekurskommission (im Folgenden: Rekurskommission oder PRK). B. Mit Schreiben vom 31. Oktober 2002 wurde den Parteien die Zusammensetzung der PRK mitgeteilt und ihnen die Möglichkeit gegeben, eine mündliche und öffentliche Verhandlung im Sinne von Art. 6 Abs. 1 der Konvention vom 4. November 1950 zum Schutze der Menschenrechte und Grundfreiheiten (EMRK, SR 0.101) zu beantragen. Fristgemäss teilte Rechtsanwältin Y. der PRK mit, dass sich X. vor der PRK mündlich äussern möchte. Entsprechend wurde mit Schreiben vom 19. Dezember 2002 auf Dienstag, 11. Februar 2003, 14.15 Uhr, eine öffentliche und mündliche Verhandlung vor der PRK angesetzt. Die Parteien wurden aufgefordert, zur angegebenen Zeit am Obergericht des Kantons Zürich zu erscheinen oder sich durch einen bevollmächtigten Vertreter vertreten zu lassen. An der Sitzung vom 11. Februar 2003 nahmen seitens der PRK Präsident A., Richter B., Richterin C. sowie Gerichtsschreiberin und Protokollführerin D. teil, seitens des Beschwerdeführers X., dessen Vater E., Rechtsanwältin Y. und als privater Übersetzer Z. Die ETHZ bzw. der ETH-Rat waren durch Professor M., ehemaliger Vorgesetzter des Beschwerdeführers, N., O. und P. vertreten. An dieser Sitzung schlossen die Parteien einen Vergleich ab mit folgendem Inhalt: «1. X., der ETH-Rat und die ETH Zürich stellen übereinstimmend fest, dass das Anstellungsverhältnis von X. bis am 30. April 2002 gedauert hat und der Lohnanspruch bis zu diesem Zeitpunkt uneingeschränkt besteht.</w:t>
      </w:r>
    </w:p>
    <w:p>
      <w:r>
        <w:rPr>
          <w:b/>
        </w:rPr>
        <w:t>E. 2</w:t>
      </w:r>
    </w:p>
    <w:p>
      <w:r>
        <w:t>Die Parteien erklären sich damit per Saldo aller Ansprüche auseinandergesetzt. Vorbehalten bleibt der Anspruch von X. auf Ausstellung eines Dienstzeugnisses.</w:t>
      </w:r>
    </w:p>
    <w:p>
      <w:r>
        <w:rPr>
          <w:b/>
        </w:rPr>
        <w:t>E. 3</w:t>
      </w:r>
    </w:p>
    <w:p>
      <w:r>
        <w:t>Mit dieser Vereinbarung fallen der Beschwerdeentscheid des ETH-Rates vom</w:t>
      </w:r>
    </w:p>
    <w:p>
      <w:r>
        <w:rPr>
          <w:b/>
        </w:rPr>
        <w:t>E. 4</w:t>
      </w:r>
    </w:p>
    <w:p>
      <w:r>
        <w:t>Vollmacht ausdrücklich auch zum Abschluss von Vergleichen ermächtigt war, konnte es an sich nicht darauf ankommen, ob X. selber an der Sitzung vom 11. Februar 2003 voll urteilsfähig war. d. Abgesehen davon kann von einer Urteilsunfähigkeit zu jenem Zeitpunkt nicht die Rede sein. Das Zeugnis von Dr. med. F. vom 7. März 2003 hält zwar fest, dass X. am 10. Februar 2003 akut an einer schweren Gastroenteritis («Magendarmgrippe»), die wahrscheinlich toxisch oder psychosomatischer Natur gewesen sei, erkrankt sei. Die Diagnose sei von Dr. F. anlässlich eines notfallmässigen Hausbesuches am 11. Februar 2003 gestellt worden. An der Gerichtsverhandlung habe sich X. infolge der akuten Magendarmerkrankung sehr wahrscheinlich in reduziertem Allgemeinzustand befunden. Es sei anzunehmen, dass er während des Verfahrens ungenügend konzentrationsfähig gewesen sei und somit seinen Anliegen nicht genügend Geltung habe verschaffen können. Daraus kann indes keineswegs auf eine Urteilsunfähigkeit geschlossen werden, wobei im Übrigen nochmals darauf hinzuweisen ist, dass X. durch eine rechtskundige Person vertreten war. Auch aus dem Erinnerungsvermögen der an der Sitzung vom 11. Februar 2003 anwesenden Mitglieder der PRK ergibt sich kein anderes Bild. So beteiligte sich X. am Geschehen insbesondere dann besonders aktiv, wenn es um den Problemkreis Lohnfortzahlung bei Krankheit ging. Auch liess er sich mit der persönlichen Unterzeichnung des Vergleichs reichlich Zeit und machte den Eindruck, er überlege sich die Sache reiflich. Ausserdem wurde die PRK weder zu Beginn noch im Verlaufe der Sitzung von Rechtanwältin Y., von X. oder dessen Vater auf eine gesundheitliche Indisposition aufmerksam gemacht oder gar um Verschiebung der Sitzung ersucht. e. Schliesslich liegt auch kein Willensmangel vor, der den Vergleichsabschluss als ungültig erscheinen liesse. Der Gesuchsteller macht in diesem Zusammenhang geltend, nach nachträglicher Prüfung der Rechtslage und nach Übersetzung des Vergleichs in seine Muttersprache stehe fest, dass die Unterzeichnung des Vergleichs auf einem Irrtum beruhe. Damit übersieht er, dass eine Anfechtung wegen Irrtums ausgeschlossen ist, soweit die Parteien sich verglichen haben, um dadurch Unsicherheiten bezüglich des umstrittenen Rechtsverhältnisses und seiner Sachverhaltsgrundlagen Rechnung zu tragen (vgl. Leuch/Marbach/Kellerhals/Sterchi, a.a.O., N. 2e zu Art. 207 ZPO/BE). Mit anderen Worten kann sich beim Vergleich ein allfälliger Irrtum nicht auf die durch den Vergleich zu beseitigende Ungewissheit beziehen (vgl. Christoph Leuenberger/Beatrice Uffer-Tobler, Kommentar zur Zivilprozessordnung des Kantons St. Gallen, Bern 1999, N. 4d zu Art. 83 ZPO/SG). Geht eine Partei nachträglich davon aus, dass sie sich hinsichtlich eines ursprünglich umstrittenen Punktes getäuscht hat, oder überlegt sie es sich einfach anders, wird der Vergleich nicht bereits unverbindlich und wegen Irrtums anfechtbar (BGE 114 Ib 79 E. 2b). Im Beschwerdeverfahren, das hier letztlich durch einen Vergleich abgeschlossen wurde, stellten sich die Fragen, ob ein wichtiger, eventuell ein triftiger Grund für die Auflösung des Dienstverhältnisses gegeben war und wie es sich mit einem allfälligen Anspruch auf Lohnfortzahlung bzw. auf Krankentaggeld verhielt. Diese Fragen waren aus Gründen des Sachverhalts oder der Rechtsanwendung im Zeitpunkt des Vergleichsschlusses unsicher. Dies trifft auch auf die Frage betreffend Lohnanspruch bei Krankheit zu (…). Wird eine Frage später geklärt, kann dies nicht zu einer Irrtumsanfechtung führen. Zweck des Vergleichs ist es ja gerade,</w:t>
      </w:r>
    </w:p>
    <w:p>
      <w:r>
        <w:rPr>
          <w:b/>
        </w:rPr>
        <w:t>E. 5</w:t>
      </w:r>
    </w:p>
    <w:p>
      <w:r>
        <w:t>auf die Klärung der entsprechenden Fragen zu verzichten (vgl. BGE 117 II 223 E. 3a). Die Berufung auf einen Willensmangel schlägt daher von vornherein fehl. f. Zusammenfassend ist demnach festzuhalten, dass der von den Parteien am 11. Februar 2003 vor der PRK geschlossene Vergleich gültig und das Beschwerdeverfahren PRK 2002-016 entsprechend nicht wieder aufzunehmen ist. Informations générales sur la Commission fédérale de recours en matière de personnel fédéral</w:t>
      </w:r>
    </w:p>
    <w:p>
      <w:r>
        <w:rPr>
          <w:b/>
        </w:rPr>
        <w:t>E. 6</w:t>
      </w:r>
    </w:p>
    <w:p>
      <w:r>
        <w:t>Schweizerisches Bundesarchiv, Digitale Amtsdruckschriften Archives fédérales suisses, Publications officielles numérisées Archivio federale svizzero, Pubblicazioni ufficiali digitali JAAC 68.5 - Entscheid der Eidgenössischen Personalrekurskommission vom 19. August 2003 [PRK 2003-017] In Verwaltungspraxis der Bundesbehörden Dans Jurisprudence des autorités administratives de la Confédération In Giurisprudenza delle autorità amministrative della Confederazione Jahr 2004 Année Anno Band 68 Volume Volume Seite --- Page Pagina Ref. No 150 006 587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