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68.57 vom 6. Oktober 2003</w:t>
      </w:r>
    </w:p>
    <w:p>
      <w:r>
        <w:t>Bundesverwaltung, 2003-10-06, DE</w:t>
      </w:r>
    </w:p>
    <w:p>
      <w:r>
        <w:rPr>
          <w:b/>
        </w:rPr>
        <w:t xml:space="preserve">Quelle: </w:t>
      </w:r>
      <w:r>
        <w:t>https://mcp.opencaselaw.ch/entscheid/ch_vb_JAAC_68.57__</w:t>
      </w:r>
    </w:p>
    <w:p>
      <w:r>
        <w:t>FR: CH_VB JAAC 68.57 du 6 octobre 2003</w:t>
      </w:r>
    </w:p>
    <w:p>
      <w:r>
        <w:t>IT: CH_VB JAAC 68.57 del 6 ottobre 2003</w:t>
      </w:r>
    </w:p>
    <w:p>
      <w:pPr>
        <w:pStyle w:val="Heading2"/>
      </w:pPr>
      <w:r>
        <w:t>Erwägungen</w:t>
      </w:r>
    </w:p>
    <w:p>
      <w:r>
        <w:rPr>
          <w:b/>
        </w:rPr>
        <w:t>E. 1</w:t>
      </w:r>
    </w:p>
    <w:p>
      <w:r>
        <w:t>peut être considéré comme une confirmation, en l’absence d’un devoir général d’information de l’administration dans le domaine de la taxe sur la valeur ajoutée (consid. 7c). Mehrwertsteuer. Verzugszins. Gruppenbesteuerung. Verrechnung. Treu und Glauben. Art. 17 Abs. 3, Art. 37 und Art. 38 MWSTV. Art. 125 Abs. 3 OR. - Die Beschwerdeführerin hat verspätet über den Umsatz aus Leistungen zu Gunsten der Tochtergesellschaften der Gruppe abgerechnet und ihre Steuerforderung nicht innerhalb der vorgesehenen Frist beglichen. Folglich hat sie Verzugszins zu bezahlen, dies unabhängig von einer Mahnung oder einem Verschulden ihrerseits (E. 7a/cc). - In der schweizerischen Rechtsordnung existiert grundsätzlich kein spezielles Konzernrecht, die Konzerngesellschaften werden unabhängig von einander behandelt. Dies gilt unter dem Vorbehalt der Gruppenbesteuerung nach Art. 17 Abs. 3 MWSTV auch im Steuerrecht (E. 4). Im vorliegenden Fall sind die Beschwerdeführerin und ihre Tochtergesellschaften nicht als steuerpflichtige Gruppe im Sinne von Art. 17 Abs. 3 MWSTV registriert und werden folglich unabhängig voneinander behandelt. Die Beschwerdeführerin kann somit einen allfälligen Anspruch der Schwestergesellschaften auf Vorsteuerabzug nicht geltend machen, auf die entsprechenden Ausführungen ist nicht einzutreten (E. 7a/aa und bb). - Sie kann im Übrigen keine Verrechnung der Verzugszinsen geltend machen, denn mangels Zustimmung der Eidgenössischen Steuerverwaltung (ESTV) sind die Voraussetzungen für eine Verrechnung nicht gegeben (E. 7b/aa und bb). - Unter dem Gesichtspunkt des Vertrauensprinzips hat die ESTV keine Auskunft erteilt, auf welche sich die Beschwerdeführerin stützen könnte, um ihre Verspätung in der Veranlagung der Umsätze und in der Entrichtung der entsprechenden Steuer zu rechtfertigen. Insbesondere kann das Schweigen der ESTV auf ein erläuterndes Schreiben der Beschwerdeführerin nicht als Bestätigung angesehen werden. Im Bereich der Mehrwertsteuer existiert keine allgemeine Pflicht der Verwaltung zur Information; es obliegt dem Steuerpflichtigen, sich selbst über seine gesetzlichen Verpflichtungen zu informieren (E. 7c). Imposta sul valore aggiunto. Interessi di mora. Imposizione di gruppo. Compensazione. Principio della buona fede. Art. 17 cpv. 3, art. 37 e art. 38 OIVA. Art. 125 cpv. 3 CO. - La ricorrente, che ha tardato a dichiarare la cifra d’affari risultante dalle sue prestazioni a favore delle società figlie del gruppo e che non ha pagato l’imposta entro il termine previsto, deve versare degli interessi di mora, anche se non vi è colpa da parte sua e senza che sia necessario un ammonimento preventivo (consid. 7a/cc).</w:t>
      </w:r>
    </w:p>
    <w:p>
      <w:r>
        <w:rPr>
          <w:b/>
        </w:rPr>
        <w:t>E. 2</w:t>
      </w:r>
    </w:p>
    <w:p>
      <w:r>
        <w:t>- Nell’ordinamento giuridico svizzero non vi sono disposizioni giuridiche specifiche concernenti i consorzi, poiché le società integrate in un gruppo sono trattate indipendentemente le une dalle altre. Questo vale anche nel diritto fiscale, con riserva della possibilità di beneficiare dell’imposizione di gruppo ai sensi dell’art. 17 cpv. 3 OIVA (consid. 4). Nella fattispecie, la ricorrente e le società figlie del gruppo non sono registrate come consorzio e devono quindi essere trattate in modo indipendente le une dalle altre. La ricorrente non può quindi avvalersi di un eventuale diritto delle società figlie alla deduzione dell’imposta precedente e le sue richieste in questo senso sono irricevibili (consid. 7a/aa e bb). - Inoltre, essa non può chiedere la compensazione degli interessi di mora litigiosi, poiché, in mancanza del consenso dell’Amministrazione federale delle contribuzioni (AFC), non sono soddisfatte le condizioni per una simile compensazione (consid. 7b/aa e bb). - Dal punto di vista del principio della buona fede, l’AFC non ha fornito informazioni che potrebbero permettere alla ricorrente di giustificare il ritardo nella dichiarazione della cifra d’affari e nel versamento della relativa imposta. In particolare, il silenzio tenuto dall’AFC in seguito ad una lettera di spiegazioni della ricorrente non può essere considerato come una conferma, poiché l’amministrazione non ha un dovere generale d’informazione nell’ambito dell’imposta sul valore aggiunto (consid. 7c). Résumé des faits: A. La société anonyme S. SA a été immatriculée au registre de l’Administration fédérale des contributions (AFC) le 1er janvier 1995 en qualité d’assujettie au sens de l’art. 17 al. 1 de l’ordonnance du 22 juin 1994 régissant la taxe sur la valeur ajoutée (OTVA, RO 1994 1464 et les modifications ultérieures). Dite société est constituée en holding et détient 100% du capital-actions de trois sociétés, lesquelles sont également immatriculées au registre de l’AFC depuis le 1er janvier 1995 en tant qu’assujetties au sens de la même disposition. B. Pour les périodes fiscales allant du 1er trimestre 1995 au 4ème trimestre 1996 (du 1er janvier 1995 au 31 décembre 1996), la société omit de déclarer des chiffres d’affaires consistant en la refacturation de salaires aux trois sociétés filles pour un montant de fr. 5’766’183.40, soit une somme d’impôt de fr. 374’801.90. D’entente avec l’AFC, lesdits chiffres d’affaires furent déclarés dans le décompte de la période fiscale du 1er trimestre 1997 (du 1er janvier 1997 au 31 mars 1997) et l’impôt y relatif acquitté. A la suite d’un contrôle sur place effectué du 10 au 12 janvier 2000, un décompte complémentaire no 188 146 daté du 28 janvier 2000 fut néanmoins établi par l’AFC, fixant les intérêts moratoires sur l’impôt précité déclaré et payé tardivement à un montant de fr. 19’497.-. C. La société contesta le bien-fondé du décompte complémentaire portant sur les intérêts moratoires par lettre du 4 février 2000. Elle soutint en effet que le montant total des loyers et salaires avait été dûment déclaré, notamment à</w:t>
      </w:r>
    </w:p>
    <w:p>
      <w:r>
        <w:rPr>
          <w:b/>
        </w:rPr>
        <w:t>E. 3</w:t>
      </w:r>
    </w:p>
    <w:p>
      <w:r>
        <w:t>l’appui de son 1er décompte du 31 mai 1995, puis déduit en tant qu’opérations exclues du champ de l’impôt, de sorte qu’aucun impôt ne semblait être dû à ce titre. Elle fit valoir également sa «bonne foi», se référant à son courrier explicatif accompagnant le 1er décompte élaboré en mai 1995. Elle indiqua enfin avoir requis de plus amples renseignements auprès de l’AFC au regard de l’éventail d’activités gérées par le groupe. Par réponse du 3 juillet 2000, l’AFC indiqua que les intérêts moratoires restaient dus, dans la mesure où il n’existait aucune base légale permettant de renoncer à les percevoir. Il s’ensuivit un deuxième échange de courriers à l’appui duquel chaque partie maintint sa position. D. Par courrier du 4 septembre 2000, la société sollicita par l’intermédiaire de son mandataire, F. SA, qu’une décision susceptible de recours lui soit notifiée. C’est ainsi que l’AFC rendit une décision à l’encontre de dite société en date du</w:t>
      </w:r>
    </w:p>
    <w:p>
      <w:r>
        <w:rPr>
          <w:b/>
        </w:rPr>
        <w:t>E. 5</w:t>
      </w:r>
    </w:p>
    <w:p>
      <w:r>
        <w:t>La compensation des créances que deux personnes détiennent l’une envers l’autre est certes un principe général du droit, valable également en droit public (décisions non publiées de la Commission de recours en matière de contributions des 25 mars 2003, en la cause G. [CRC 2002-016], consid. 3 et 25 septembre 2002, en la cause P. [CRC 2001-115], consid. 4; Pierre Moor, Droit administratif, vol. II, 2e éd., Berne 2002, p. 90). Il est cependant nécessaire de tenir compte des dispositions particulières du droit administratif qui limitent les possibilités de compensation de créances entre l’administré et la collectivité publique. Une telle restriction ressort de l’art. 125 ch. 3 du Code des obligations du 30 mars 1911 (CO, RS 220), qui dispose que les créances dérivant du droit public en faveur de l’Etat et des communes ne peuvent être compensées contre la volonté du créancier. Ceci signifie qu’il n’est pas permis au débiteur d’une dette de droit public d’opposer la compensation à la collectivité publique, en tant que titulaire d’une créance relevant du droit privé. Il est par contre loisible à la collectivité publique de procéder d’office à la compensation dans cette situation (décision de la Commission de céans du 31 janvier 2000, publiée dans la JAAC 64.82 consid. 4; décision non publiée de la Commission fédérale de recours en matière de contributions du 15 septembre 1999, en la cause B. [CRC 1999-010], consid. 4). En présence de deux créances relevant du droit public, l’art. 125 ch. 3 CO n’est pas directement applicable, puisque l’on se trouve en-dehors du champ d’application du CO. Cependant, selon la doctrine dominante et la pratique, la réglementation de l’art. 125 ch. 3 CO a la nature d’un principe général également applicable en droit public, de telle manière que, par rapport à deux créances relevant du droit public, l’administré ne peut compenser que si la collectivité publique l’approuve ou si une norme correspondante (p. ex. art. 29 al. 1 OTVA) l’y autorise expressément (cf. arrêt non publié du Tribunal fédéral du 11 juillet 2003, en la cause S. SA [2A.561/2002], consid. 2.3 in fine; décision précitée de la Commission de céans du 31 janvier 2000, publiée dans la JAAC 64.82 consid. 4; JAAC 58.18 consid. 27; Schweizerisches Zentralblatt für Staats- und Verwaltungsrecht [ZBl] 1967 p. 68 consid. 2; André Grisel, Traité de droit administratif, vol. II, Neuchâtel 1984, p. 658; Gauch/Schluep/Schmid/Rey, Schweizerisches Obligationenrecht. Allgemeiner Teil, Band II, 7e éd., Zurich 1998 ch. 3366a). 6.a. Découlant directement de l’art. 9 de la Constitution fédérale de la Confédération Suisse du 18 avril 1999 (Cst., RS 101), le principe de la protection de la bonne foi énonce qu’un comportement loyal et digne de</w:t>
      </w:r>
    </w:p>
    <w:p>
      <w:r>
        <w:rPr>
          <w:b/>
        </w:rPr>
        <w:t>E. 6</w:t>
      </w:r>
    </w:p>
    <w:p>
      <w:r>
        <w:t>confiance doit présider dans les rapports entre l’Etat et l’administré (Moor, Droit administratif, vol. I, 2e éd., Berne 1994, p. 428). Il s’applique lorsque l’administration crée une apparence de droit sur laquelle l’administré se fonde pour adopter un comportement qu’il considère dès lors comme conforme au droit. Le principe de la bonne foi régit aussi les rapports entre les autorités fiscales et les contribuables; le droit fiscal est toutefois dominé par le principe de la légalité, de telle sorte que le principe de la bonne foi ne saurait avoir qu’une influence limitée, surtout s’il vient à entrer en conflit avec le principe de la légalité (ATF 118 Ib 316 consid. 3b, voir cependant la décision de la Commission fédérale de recours en matière de douanes du 13 décembre 1994, publiée dans la JAAC 60.16 consid. 3c/bb). Ainsi, selon la jurisprudence, l’autorité qui fait une promesse, donne une information ou fournit une assurance doit satisfaire les expectatives créées, même si la promesse ou l’expectative sont illégales, si les conditions cumulatives suivantes sont remplies (arrêt non publié du Tribunal fédéral du 11 juillet 2003, en la cause S. SA [2A.561/2002], consid. 3.2; décision de la Commission fédérale de recours en matière de contributions du 9 février 2001, publiée dans la JAAC 65.83 consid. 5b): - l’autorité doit avoir agi dans un cas concret et vis-à-vis d’une personne déterminée (un renseignement général ou la distribution de notes d’information générale donnant une orientation sur une législation ou son application ou encore une pratique ne suffisent pas); - l’autorité était compétente ou censée l’être; - l’administré ne pouvait se rendre immédiatement compte de l’illégalité du renseignement fourni; - ledit renseignement a incité l’administré concerné à prendre des mesures dont la modification lui serait préjudiciable; - enfin, la législation applicable n’a pas été modifiée entre le moment où l’information en cause a été donnée et celui où le principe de la bonne foi a été invoqué (Blaise Knapp, Précis de droit administratif, Bâle et Francfort-sur-le-Main 1991, p. 108, n° 509; René Rhinow/Beat Krähenmann, Schweizerische Verwaltungsrechtsprechung, Ergänzungsband, Bâle 1990, p. 240 ss; Ulrich Häfelin/Georg Müller, Grundriss des Allgemeinen Verwaltungsrechts, 4e éd., Zurich 2002, p. 128 ss, plus particulièrement p. 138 ss ch. 668 ss). b. Il ne suffit toutefois pas que, pendant un certain temps, l’autorité n’intervienne pas à l’encontre d’un état de fait illégal et encore moins que, par ignorance ou faute d’actualité du problème, elle reste neutre. Il faut qu’elle manifeste d’une manière ou d’une autre sa position. Il n’est pas nécessaire pour autant qu’elle le fasse explicitement; elle sera liée si l’administré, sachant qu’elle est au courant, peut de bonne foi conclure de son mutisme qu’elle considère la situation comme régulière ou qu’elle a renoncé à exiger l’exécution de la prestation qu’il doit (Moor, vol. I, op. cit., p. 432 et réf. citées). Il convient toutefois de se rappeler que le système d’imposition de la taxe sur la valeur ajoutée (TVA) repose sur le principe de l’auto-taxation (art. 37 OTVA; décision de la Commission fédérale de recours en matière de contributions du 7 août 1997, publiée dans la Revue de droit administratif et de droit fiscal [RDAF] 1998, 2e partie, p. 49 consid. 3b/bb; Ernst Blumenstein/Peter</w:t>
      </w:r>
    </w:p>
    <w:p>
      <w:r>
        <w:rPr>
          <w:b/>
        </w:rPr>
        <w:t>E. 7</w:t>
      </w:r>
    </w:p>
    <w:p>
      <w:r>
        <w:t>En l’espèce, la recourante se plaint principalement de la créance fiscale fixant les intérêts moratoires sur des chiffres d’affaires dont elle ne conteste pas le bien-fondé. Il convient donc de s’arrêter en premier lieu à la question des intérêts moratoires (let. a), les moyens tirés de la compensation (let. b) et de la prétendue violation du principe de la bonne foi (let. c) faisant l’objet d’un examen séparé. a. En l’occurrence, le calcul des intérêts moratoires n’est pas contesté. La recourante ne conteste en effet que le principe de la fixation de tels intérêts au regard des circonstances de l’espèce. Elle invoque principalement à cet égard l’abus de droit résultant du fait que les sociétés filles ayant bénéficié des prestations litigieuses et la recourante appartiennent au même groupe,</w:t>
      </w:r>
    </w:p>
    <w:p>
      <w:r>
        <w:rPr>
          <w:b/>
        </w:rPr>
        <w:t>E. 8</w:t>
      </w:r>
    </w:p>
    <w:p>
      <w:r>
        <w:t>estimant particulièrement choquant que celle-ci doive acquitter des intérêts moratoires, alors que les sociétés filles en question n’ont pu faire valoir la déduction de l’impôt préalable qu’avec un certain retard. aa. En premier lieu, le dossier révèle, et la recourante ne le conteste pas, que la société et ses filiales ne sont pas inscrites comme un groupe assujetti au sens de l’art. 17 al. 3 OTVA. Il n’existe pas non plus, comme on l’a vu (consid. 4 ci-dessus), un droit des groupes qui lui serait applicable. Il s’ensuit que les sociétés en cause constituent des entités séparées et indépendantes juridiquement, lesquelles sont par ailleurs immatriculées au registre de l’AFC depuis le 1er janvier 1995 en tant qu’assujetties au sens de l’art. 17 al. 1 OTVA, bénéficiant ainsi chacune d’un numéro de contribuable différent. La recourante n’a de ce fait pas qualité pour requérir un droit à la déduction, lequel appartiendrait aux sociétés filles auxquelles elle a fourni des prestations de services. Pris sous cet angle, les conclusions de la recourante, laquelle se prévaut expressément de la déduction de l’impôt préalable par les sociétés filles, apparaissent d’emblée irrecevables. Il en va de même de l’argument selon lequel le droit à déduction des sociétés acquéreuses serait mal agencé par rapport à l’imposition des prestations que la recourante a elle-même fournies. bb. La recourante prétend à cet égard que l’AFC s’arrange pour ne voir que la seule situation juridique, sans tenir compte de la réalité économique, dans la mesure où elle ne prend en considération que le caractère juridiquement séparé des entités concernées. La règle reste qu’une société anonyme est en principe une entité indépendante agissant en son nom propre et effectuant donc des éventuelles opérations TVA pour son compte. Il est vrai qu’il existe des situations où la réalité économique est préférée à la situation juridique. C’est précisément le cas lorsqu’un groupe (économique) remplit les conditions de l’art. 17 al. 3 OTVA. C’est aussi le cas lorsque deux entités séparées ne forment en réalité qu’une seule entité, la séparation juridique touchant au fait d’éluder l’impôt. La situation présente ne relève cependant manifestement pas des cas ainsi évoqués. Il est vrai enfin que l’on discute souvent de savoir si le droit privé ou l’appréciation économique l’emporte pour qualifier une opération TVA (voir à ce sujet arrêt non publié du Tribunal fédéral du 9 août 2002, en la cause S. [2A.75/2002], consid. 3). Mais la situation n’est nullement ici alléguée, dans la mesure où la société recourante ne conteste pas que les opérations qui portent intérêts moratoires sont imposables. cc. Sur le fond, la recourante doit déclarer les montants d’impôt échus en temps utile. Ce principe vaut également en présence de prestations effectuées en faveur de ses filiales. En effet, comme nous l’avons vu supra, de elles prestations internes sont soumises au champ de l’impôt du fait de l’absence d’une imposition de groupe au sens de l’art. 17 al. 3 OTVA. Il en résulte pour la société recourante l’obligation de déclarer spontanément cet impôt et ce dans les soixante jours qui suivent la période de décompte. Dans ce même délai, il appartient à la recourante de s’acquitter de l’impôt en question, faute de quoi elle est redevable d’un intérêt moratoire. En l’espèce, la recourante a tardé à établir les factures concernant ses prestations, lesquelles n’ont été établies qu’en date du 31 mai 1997 selon ses propres affirmations. Ce faisant, la créance fiscale en découlant n’a pris naissance, non pas au moment de la facturation, comme tel est pourtant le cas</w:t>
      </w:r>
    </w:p>
    <w:p>
      <w:r>
        <w:rPr>
          <w:b/>
        </w:rPr>
        <w:t>E. 9</w:t>
      </w:r>
    </w:p>
    <w:p>
      <w:r>
        <w:t>en règle générale (art. 35 al. 1 OTVA, décompte selon les contre-prestations convenues), mais au moment des contre-prestations effectuées par les sociétés filles en conformité de l’art. 34 let. a ch. 2 OTVA (décompte selon les contre-prestations reçues). Il est avéré en l’occurrence que la recourante a bénéficié d’un chiffre d’affaires s’élevant à la somme de fr. 5’776’183.40 pour les seules prestations en faveur de ses sociétés filles, et ce au cours des périodes fiscales considérées du 1er janvier 1995 au 31 décembre 1996. Ce n’est pourtant que lors du décompte de la période fiscale du 1er trimestre 1997 que la recourante a procédé à la déclaration de ce chiffre d’affaires. Elle n’a ainsi pas respecté les délais impartis pour ce faire et par voie de conséquence pour s’acquitter de la dette fiscale en résultant, ce qu’elle ne conteste pas par ailleurs. De ce simple retard en résulte l’obligation pour l’assujettie de verser des intérêts moratoires, ceci même sans faute de sa part et sans qu’aucune sommation préalable ne lui soit adressée. Les intérêts moratoires commencent ainsi à courir dès l’échéance du paiement de l’impôt, soit une échéance moyenne en présence de plusieurs périodes de décompte, la loi ne prévoyant aucunement la possibilité de les suspendre ou de les reporter, ni même d’y renoncer. Il résulte de ce qui précède que l’impôt n’ayant pas été acquitté par la recourante dans les délais, la perception d’un intérêt moratoire est pleinement justifiée et équitable au regard des circonstances. La décision entreprise ne procède pour le surplus aucunement d’un abus de droit de la part de l’autorité intimée, celle-ci ne faisant qu’appliquer les règles légales en la matière. b. Cela étant, la recourante invoque la compensation des intérêts moratoires en se prévalant des intérêts créanciers, lesquels devraient être accordés en équité à ses sociétés filles. aa. De prime abord, la question de la perception par ces dernières d’éventuels intérêts rémunératoires n’aurait pas à être examinée, ni même résolue en l’espèce, dans la mesure où la Commission de céans n’a été saisie de cette question que par la recourante et non par les sociétés concernées. Or, la Commission de recours ne peut être ainsi valablement saisie, la recourante ne pouvant représenter ses filiales dans ce cadre et ne pouvant donc rechercher de telles créances en justice. Il est vrai que la Commission de céans pourrait néanmoins être amenée à examiner le bien fondé de la contre-créance dont la recourante se prévaut, ceci pour autant que cette dernière ait le droit d’exercer une éventuelle compensation. Tel n’est cependant pas le cas en l’espèce, dans la mesure où toutes les conditions ne sont pas remplies. bb. En effet, la recourante fait valoir une créance qui appartient à des tiers, soit d’autres sociétés ayant la personnalité juridique. Or, pour éteindre des dettes et créances réciproques par compensation, il est indispensable que le créancier et le débiteur au rapport pécuniaire en cause soient identiques. Il manque ainsi une des premières conditions essentielles pour toute compensation de créances réciproques, que celles-ci relèvent du droit privé ou du droit public. Il sied par ailleurs de souligner que même si cette première condition était remplie dans le cas présent, la recourante ne pourrait toujours pas se prévaloir de la compensation pour éteindre sa dette d’intérêts, l’AFC</w:t>
      </w:r>
    </w:p>
    <w:p>
      <w:r>
        <w:rPr>
          <w:b/>
        </w:rPr>
        <w:t>E. 10</w:t>
      </w:r>
    </w:p>
    <w:p>
      <w:r>
        <w:t>n’ayant pas donné son assentiment en l’état. Il n’existe en outre aucune base légale expresse autorisant une telle compensation, sur laquelle la recourante pourrait se fonder dans le cas particulier. c. Il résulte enfin du dossier que le principe de la bonne foi aurait été mis à mal par l’absence de réaction de la part de l’AFC au courrier de la recourante accompagnant son 1er décompte TVA pour l’année 1995, aux termes duquel elle sollicitait que l’AFC l’informe en cas d’éventuels problèmes sur la manière de remplir le décompte. Par la même occasion, elle attirait l’attention de dite autorité sur l’existence de prestations en faveur de sociétés du même groupe. Elle aurait même requis un entretien courant 1996 avec un représentant de l’AFC aux fins d’obtenir des renseignements au regard de l’éventail des activités gérées par le groupe. Le système d’imposition de la TVA reposant sur le principe de l’auto-taxation (consid. 6b ci-dessus) permet d’exiger de la part des contribuables qu’ils fassent preuve d’une connaissance particulière de ses obligations légales, étant précisé que dans ce cadre, le rôle de l’administration n’est pas d’instruire ces derniers, mais bien de vérifier les seuls éléments déclarés. Il n’existe dès lors aucun devoir général d’information de la part de l’administration, basé sur le principe de la bonne foi, ceci en particulier dans le domaine de la TVA comme on l’a vu. En l’occurrence, aucun renseignement n’apparaît avoir été donné par l’AFC, sur lequel la recourante aurait pu se fonder pour expliquer le retard avec lequel elle a déclaré les chiffres d’affaires imposables concernant ses prestations en faveur de ses filiales. Ce n’est par ailleurs pas sur la base d’une assurance de droit que la recourante justifie sa «bonne foi», mais bien au contraire sur le silence de l’AFC à sa correspondance explicative du 31 mai 1995. Or, le mutisme dont l’AFC a fait preuve dans ce contexte ne suffit pas en soi pour que la recourante puisse bénéficier de la protection résultant du principe de la bonne foi. En effet, il appartenait à cette dernière de s’informer en priorité sur ses obligations légales, et donc sur la manière de remplir correctement son 1er décompte TVA, étant précisé que le rôle de l’AFC ne peut être celui d’un conseiller fiscal. Il n’appartient dès lors pas à cette dernière de donner aux contribuables, et donc à la recourante, des renseignements généraux, ni de les instruire sur la manière de déclarer les chiffres d’affaires imposables, et encore moins de contrôler à leur demande que le décompte a été rempli de manière correcte. L’AFC n’était donc pas tenue de répondre au courrier invoqué par la recourante, ce silence ne pouvant être compris par celle-ci comme une confirmation selon laquelle l’administration tenait la déclaration comme régulière, voire une renonciation à exiger le rétablissement d’une situation qui pouvait s’avérer illégale. Le principe de la bonne foi n’a donc pas été violé en l’espèce. 8. (rejet)</w:t>
      </w:r>
    </w:p>
    <w:p>
      <w:r>
        <w:rPr>
          <w:b/>
        </w:rPr>
        <w:t>E. 11</w:t>
      </w:r>
    </w:p>
    <w:p>
      <w:r>
        <w:t>Schweizerisches Bundesarchiv, Digitale Amtsdruckschriften Archives fédérales suisses, Publications officielles numérisées Archivio federale svizzero, Pubblicazioni ufficiali digitali JAAC 68.57 - Décision de la Commission fédérale de recours en matière de contributions du 6 octobre 2003 en la cause S. SA [CRC 2001-137] In Verwaltungspraxis der Bundesbehörden Dans Jurisprudence des autorités administratives de la Confédération In Giurisprudenza delle autorità amministrative della Confederazione Jahr 2004 Année Anno Band 68 Volume Volume Seite --- Page Pagina Ref. No 150 006 578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