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68.31 vom 18. August 2003</w:t>
      </w:r>
    </w:p>
    <w:p>
      <w:r>
        <w:t>Bundesverwaltung, 2003-08-18, DE</w:t>
      </w:r>
    </w:p>
    <w:p>
      <w:r>
        <w:rPr>
          <w:b/>
        </w:rPr>
        <w:t xml:space="preserve">Quelle: </w:t>
      </w:r>
      <w:r>
        <w:t>https://mcp.opencaselaw.ch/entscheid/ch_vb_JAAC_68.31__</w:t>
      </w:r>
    </w:p>
    <w:p>
      <w:r>
        <w:t>FR: CH_VB JAAC 68.31 du 18 août 2003</w:t>
      </w:r>
    </w:p>
    <w:p>
      <w:r>
        <w:t>IT: CH_VB JAAC 68.31 del 18 agosto 2003</w:t>
      </w:r>
    </w:p>
    <w:p>
      <w:pPr>
        <w:pStyle w:val="Heading2"/>
      </w:pPr>
      <w:r>
        <w:t>Erwägungen</w:t>
      </w:r>
    </w:p>
    <w:p>
      <w:r>
        <w:rPr>
          <w:b/>
        </w:rPr>
        <w:t>E. 1</w:t>
      </w:r>
    </w:p>
    <w:p>
      <w:r>
        <w:t>- Dans leur appréciation des médicaments, les autorités suisses compétentes pour les produits thérapeutiques ne sont pas liées par les décisions d’autorités étrangères (consid. 6). - Pour l’appréciation de la sécurité des médicaments les coûts n’entrent pas en considération (consid. 7). Arzneimittel. Zulassungsverfahren. Angabe der Aufbrauchfrist in der Arzneimittelinformation. Anwendbarkeit der Europäischen Pharmakopöe. Anforderung an Konservierungsbelastungstests. Art. 10, Art. 11 Abs. 1 Bst. f, Art. 13 HMG. Art. 2, Art. 12 ff., Ziff. 3 Rubrik 16 Anhang 4, Ziff. 3 Rubrik 10 Anhang 5.1 AMZV. Art. 1 PhaV. - Bei Augentropfen ohne Konservierungsmittel, die in Multidosenbehältern abgegeben werden, ist in der Fach- und der Patienteninformation die Aufbrauchfrist anzugeben. Diese bestimmt sich nach den einschlägigen Vorschriften der Europäischen Pharmakopöe und nach dem aktuellen Stand von Wissenschaft und Technik. In der Regel beträgt sie vier Wochen (E. 3.2). - Eine vier Wochen übersteigende Aufbrauchfrist kann ausnahmsweise bewilligt werden, wenn die Zulassungsinhaberin insbesondere nachweist, dass die mikrobiologische Sicherheit während der gesamten Dauer der verlängerten Aufbrauchfrist - auch unter Stressbedingungen - gewährleistet ist (E. 3.3 und E. 5.1). - Mangels einschlägiger Regeln der Europäischen Pharmakopöe müssen Tests zum Nachweis einer vier Wochen übersteigenden Aufbrauchfrist dem aktuellen Stand von Wissenschaft und Technik genügen, wie er insbesondere in der europäischen «Note for guidance on in-use stability testing of human medicinal products» wiedergegeben ist. Derartige Tests sind zum Sicherheitsnachweis nur geeignet, wenn sie validiert sind (E. 5.3). - Die schweizerischen Heilmittelbehörden sind bei der Beurteilung von Arzneimitteln an die Entscheide ausländischer Behörden nicht gebunden (E. 6). - Bei der Beurteilung der Sicherheit von Arzneimitteln sind Kostenfragen unbeachtlich (E. 7). Medicamenti. Procedura di omologazione. Indicazione del termine di consumo nell’informazione concernente i medicamenti. Applicabilità della farmacopea europea. Esigenze poste ai test di conservazione in situazioni estreme. Art. 10, art. 11 cpv. 1 lett. f, art. 13 LATer. Art. 2, art. 12 segg, n° 3 rubrica 16 allegato 4, n°3 rubrica 10 allegato 5.1 OOMed. Art. 1 OFarm.</w:t>
      </w:r>
    </w:p>
    <w:p>
      <w:r>
        <w:rPr>
          <w:b/>
        </w:rPr>
        <w:t>E. 2</w:t>
      </w:r>
    </w:p>
    <w:p>
      <w:r>
        <w:t>- Per gocce per gli occhi senza agenti conservatori, distribuite in contenitori multidosi, deve essere indicato il termine di consumo nell’informazione sul medicamento e in quella destinata al paziente. La data è determinata secondo le relative disposizioni della farmacopea europea e secondo lo stato attuale della scienza e della tecnica. Di regola si tratta di quattro settimane (consid. 3.2). - Un termine di consumo che supera le quattro settimane può essere autorizzato in via eccezionale, se la titolare dell’omologazione dimostra in particolare che la sicurezza microbiologica è garantita durante tutta la durata del termine di utilizzo prolungato anche in condizioni estreme (consid. 3.3 e consid. 5.1). - In mancanza di regole applicabili della farmacopea europea, sono considerati sufficienti i test per la prova che un termine di utilizzo superiore alle quattro settimane corrisponde allo stato attuale della scienza e della tecnica, come in particolare il test illustrato nel documento europeo «Note for guidance on in-use stability testing of human medicinal products». Simili test sono idonei a dimostrare la sicurezza solo se sono validati (consid. 5.3). - Le autorità svizzere nell’ambito dei medicamenti, chiamate a valutare dei medicamenti, non sono vincolate alle decisioni di autorità estere (consid. 6). - Per l’esame della sicurezza di medicamenti le questioni dei costi sono irrilevanti (consid. 7). Zusammenfassung des Sachverhalts: Die Arzneimittel X und Y wurden am 28. September 2000 von der A. GmbH (im Folgenden: Beschwerdeführerin) bei der Interkantonalen Kontrollstelle für Heilmittel (IKS) zur Registrierung als Generika angemeldet. Es handelt sich dabei um Augentropfen mit dem Wirkstoff Z in steriler, wässeriger Lösung ohne Konservierungsmittel, die zur Senkung des Augeninnendrucks eingesetzt werden. Die Präparate werden in Behältnissen vertrieben, welche das B-System verwenden. Dabei handelt es sich um ein spezielles Mehrdosenbehältnis für ophthalmologische Präparate zur mehrfachen Anwendung, das zu antimikrobiellen Zwecken mit einer Silberspirale hinter der Tropferöffnung bestückt ist. Am 21. November 2001 liess die IKS der Beschwerdeführerin eine Voranzeige zugehen, in welcher sie die Registrierung der Präparate unter gewissen Auflagen in Aussicht stellte. Ausdrücklich hielt sie aber fest, es könne nur eine Aufbrauchfrist (Verwendungsdauer ab erstmaligem Öffnen des Multidosenbehälters) von 4 Wochen zugelassen werden. Mit Schreiben vom 14. Dezember 2001 nahm die Beschwerdeführerin zur Voranzeige Stellung und hielt insbesondere fest, sie bestehe auf der Zulassung der Präparate mit einer Aufbrauchfrist von maximal 12 Wochen.</w:t>
      </w:r>
    </w:p>
    <w:p>
      <w:r>
        <w:rPr>
          <w:b/>
        </w:rPr>
        <w:t>E. 3</w:t>
      </w:r>
    </w:p>
    <w:p>
      <w:r>
        <w:t>Umstritten ist im vorliegenden Verfahren, ob in der Arzneimittelinformation der zu beurteilenden Präparate eine Aufbrauchfrist von 4 oder von (maximal) 12 Wochen anzugeben ist.</w:t>
      </w:r>
    </w:p>
    <w:p>
      <w:r>
        <w:rPr>
          <w:b/>
        </w:rPr>
        <w:t>E. 3.1</w:t>
      </w:r>
    </w:p>
    <w:p>
      <w:r>
        <w:t>Verwendungsfertige Arzneimittel dürfen in der Schweiz nur dann in Verkehr gebracht werden, wenn sie vom Institut zugelassen worden sind (abgesehen von Ausnahmen, die im vorliegenden Verfahren ohne Belang sind; vgl. Art. 9 des Bundesgesetzes vom 15. Dezember 2000 über Arzneimittel und Medizinprodukte [HMG], SR 812.21). Die Zulassung setzt insbesondere voraus, dass die Gesuchstellerin belegen kann, dass ein Arzneimittel qualitativ hochstehend, sicher und wirksam ist (Art. 10 Abs. 1 Bst. a HMG). Zulassungsgesuche müssen vor allem sämtliche für die Beurteilung der Qualität, Sicherheit und Wirksamkeit erforderlichen Angaben und Unterlagen enthalten, die in Art. 11 Abs. 1 HMG und in der gestützt auf Art. 11 Abs. 3 HMG erlassenen Verordnung des Schweizerischen Heilmittelinstituts vom 9. November 2001 über die Anforderungen an die Zulassung von Arzneimitteln (AMZV, SR 812.212.22) detailliert umschrieben sind. Hiezu zählen insbesondere auch die Texte der Arzneimittelinformation (Fach- und Patienteninformation, zum Teil Packungstext), die dem aktuellen Stand von Wissenschaft und Technik sowie den Vorgaben der Anhänge 1, 3, 4 und 5 der AMZV entsprechen müssen (Art. 2 und Art. 12 ff. AMZV). Bei der Zulassung von Generika (Arzneimittel mit bereits zugelassenen, bekannten Wirkstoffen) werden an die Dokumentation über die pharmakologischen und toxikologischen sowie die klinischen Prüfungen unter bestimmten Voraussetzungen herabgesetzte Anforderungen gestellt (Art. 4 ff. der Verordnung des Schweizerischen Heilmittelinstituts vom 9. November 2001 über die vereinfachte Zulassung und die Meldepflicht von Arzneimitteln [VAZV], SR 812.212.23). Die Arzneimittelinformation muss aber auch bei derartigen Arzneimitteln vollumfänglich den Bestimmungen der AMZV entsprechen (vgl. Teil 1 Kap. I A, B Ziff. 6 der Anleitung vom 31. Januar 2002 zum Einreichen von Zulassungsgesuchen für Arzneimittel der Humanmedizin mit bekannten Wirkstoffen [Generika-Anleitung]). Die Zulassung eines Arzneimittels wird jeweils für eine bestimmte Zusammensetzung, galenische Form und Dosierung (unter anderem) sowie für bestimmte Indikationen oder Anwendungsgebiete erteilt, die im Rahmen der Zulassungsverfügung in einer Zusammenfassung der Produktemerkmale</w:t>
      </w:r>
    </w:p>
    <w:p>
      <w:r>
        <w:rPr>
          <w:b/>
        </w:rPr>
        <w:t>E. 3.2</w:t>
      </w:r>
    </w:p>
    <w:p>
      <w:r>
        <w:t>Zu Recht bestreitet die Beschwerdeführerin nicht, dass das Institut befugt ist zu verlangen, dass bei Ophthalmologika ohne Konservierungsmittel, die in Multidosenbehältern abgegeben werden, die Aufbrauchfrist in der Fach- und der Patienteninformation angegeben wird. Für die Fachinformation sieht Ziff. 3 Rubrik 16 Anhang 4 der AMZV ausdrücklich vor, dass Angaben zur Haltbarkeit - und damit auch zur Aufbrauchfrist - zu machen sind. Für die Patienteninformation verlangt Ziff. 3 Rubrik 10 Anhang 5.1 der AMZV zwar im Wesentlichen nur, es müsse angegeben werden, dass das Arzneimittel nur bis zu dem auf der Packung genannten Datum verwendet werden darf. Da aber gemäss Ziff. 1 Abs. 1 Bst. f Anhang 1 der AMZV auf der Packung nicht nur das eigentliche Verfalldatum, sondern - soweit nötig - auch die Aufbrauchfrist nach Anbruch der Packung anzugeben ist, und zudem das Institut in begründeten Ausnahmefällen ohnehin befugt ist, spezielle Anforderungen an die Arzneimittelinformation festzulegen (Art. 16 AMZV), erachtet es die REKO HM als zulässig zu verlangen, dass auch in der Patienteninformation der zu beurteilenden Präparate ein Hinweis auf die Aufbrauchfrist aufgenommen wird.</w:t>
      </w:r>
    </w:p>
    <w:p>
      <w:r>
        <w:rPr>
          <w:b/>
        </w:rPr>
        <w:t>E. 3.3</w:t>
      </w:r>
    </w:p>
    <w:p>
      <w:r>
        <w:t>Die Dauer der Aufbrauchfrist bestimmt sich in erster Linie nach dem aktuellen Stand von Wissenschaft und Technik. Zu beachten sind insbesondere die einschlägigen Vorschriften der Europäischen Pharmakopöe (Ph.Eur.), die in der Schweiz rechtsverbindlich und unmittelbar anwendbar ist (Art. 1 der Verordnung vom 17. Oktober 2001 über die Pharmakopöe [PhaV], SR 812.211) - und zwar in ihrer 4. Ausgabe, inklusive den Nachträgen 4.1. bis 4.3. (Art. 1 Bst. a der Verordnung des Schweizerischen Heilmittelinstituts vom</w:t>
      </w:r>
    </w:p>
    <w:p>
      <w:r>
        <w:rPr>
          <w:b/>
        </w:rPr>
        <w:t>E. 4</w:t>
      </w:r>
    </w:p>
    <w:p>
      <w:r>
        <w:t>festgehalten werden (Art. 7 Abs. 1 der Verordnung vom 17. Oktober 2001 über die Arzneimittel [VAM], SR 812.212.21). Bestandteil der Zulassung bildet aber auch die Arzneimittelinformation (Art. 11 Abs. 1 Bst. f in Verbindung mit Art. 16 Abs. 1 HMG).</w:t>
      </w:r>
    </w:p>
    <w:p>
      <w:r>
        <w:rPr>
          <w:b/>
        </w:rPr>
        <w:t>E. 9</w:t>
      </w:r>
    </w:p>
    <w:p>
      <w:r>
        <w:t>Entgegen der Auffassung der Beschwerdeführerin kann aus dem Fehlen von Spontanmeldungen kontaminationsbedingter Unverträglichkeiten nicht ohne Weiteres auf eine hohe mikrobiologische Sicherheit geschlossen werden. Es ist allgemein bekannt, dass bei freiwilligen Nebenwirkungsmeldungen in der Regel ein «under reporting» vorliegt und von einer hohen Dunkelziffer ausgegangen werden muss. Allgemein wird die Dunkelziffer im spontanen Erfassungssystem von nicht erkannten oder nicht gemeldeten Fällen in der Literatur mit etwa 80 bis 90% angegeben (vgl. den unveröffentlichten Entscheid der Rekurskommission der Interkantonalen Vereinigung für Heilmittel vom 29. Mai 1998 i.S. S.P. AG [Nr. 464], E. 5b). Die Ergebnisse des «Periodic safety update report» können daher höchstens als Indiz für die Sicherheit der zu beurteilenden Präparate angesehen werden und vermögen die geschilderten Unzulänglichkeiten der vorgelegten Prüfungen gemäss Europäischer Pharmakopöe nicht zu beheben. 5.3.6. Die ebenfalls anlässlich der mündlichen Verhandlung vom 16. Dezember 2002 beigebrachten Patente für das B-System zeigen zwar, dass dieses als neuartig zu betrachten ist und die technischen Voraussetzungen für ein abgeschlossenes, weitgehend keimdichtes System besitzt. Da aber im Rahmen von Patentierungsverfahren nicht über die Sicherheit bei der Anwendung als Arzneimittel zu entscheiden ist, sind sie nicht geeignet, die Keimfreiheit unter Gebrauchs- und Kontaminationsbedingungen zu beweisen. Ebenso wenig lässt sich aus dem Umstand, dass das in der Schweiz in Verkehr gebrachte Medizinprodukt W (mit B-System) von einer Bewertungsstelle mit einer Aufbrauchfrist von 12 Wochen als konform beurteilt worden ist, ableiten, die mikrobiologische Sicherheit sei auch bei den zu beurteilenden Präparaten gegeben, unterscheiden sich doch die Konformitätsanforderungen an Medizinprodukte grundsätzlich von den Zulassungsanforderungen an Arzneimittel. 5.4. Die REKO HM kommt aus diesen Gründen zum Schluss, dass zwar das Mehrdosenbehältnis B als geschlossenes System angesehen werden kann, dass es aber der Beschwerdeführerin nicht gelungen ist, mit Untersu- chungen, die der Europäischen Pharmakopöe und dem heutigen Stand von Wissenschaft und Technik entsprechen, zu belegen, dass die zu beurteilenden Präparate während der gesamten beantragten Aufbrauchfrist von 12 Wochen und der gesamten Dauer ihrer Haltbarkeit steril sind und bleiben. Die Sicherheit der Präparate nach dem ersten Öffnen des Multidosenbehälters für eine Dauer von</w:t>
      </w:r>
    </w:p>
    <w:p>
      <w:r>
        <w:rPr>
          <w:b/>
        </w:rPr>
        <w:t>E. 12</w:t>
      </w:r>
    </w:p>
    <w:p>
      <w:r>
        <w:t>Schweizerisches Bundesarchiv, Digitale Amtsdruckschriften Archives fédérales suisses, Publications officielles numérisées Archivio federale svizzero, Pubblicazioni ufficiali digitali JAAC 68.31 - Entscheid der Eidgenössischen Rekurskommission für Heilmittel vom 19. März 2003 i.S. A. GmbH [HM 02.012]. Eine hiegegen erhobene Verwaltungsgerichtsbeschwerde hat das Bundesgericht mit Urteil vom 18. August 2003 [2A.200/2003] abgewiesen In Verwaltungspraxis der Bundesbehörden Dans Jurisprudence des autorités administratives de la Confédération In Giurisprudenza delle autorità amministrative della Confederazione Jahr 2004 Année Anno Band 68 Volume Volume Seite --- Page Pagina Ref. No 150 006 494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