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JAAC 68.172 vom 2. April 1998</w:t>
      </w:r>
    </w:p>
    <w:p>
      <w:r>
        <w:t>Bundesverwaltung, 1998-04-02, DE</w:t>
      </w:r>
    </w:p>
    <w:p>
      <w:r>
        <w:rPr>
          <w:b/>
        </w:rPr>
        <w:t xml:space="preserve">Quelle: </w:t>
      </w:r>
      <w:r>
        <w:t>https://mcp.opencaselaw.ch/entscheid/ch_vb_JAAC_68.172__</w:t>
      </w:r>
    </w:p>
    <w:p>
      <w:r>
        <w:t>FR: CH_VB JAAC 68.172 du 2 avril 1998</w:t>
      </w:r>
    </w:p>
    <w:p>
      <w:r>
        <w:t>IT: CH_VB JAAC 68.172 del 2 aprile 1998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EN DROIT</w:t>
      </w:r>
    </w:p>
    <w:p>
      <w:r>
        <w:rPr>
          <w:b/>
        </w:rPr>
        <w:t>E. 2</w:t>
      </w:r>
    </w:p>
    <w:p>
      <w:r>
        <w:t>Schweizerisches Bundesarchiv, Digitale Amtsdruckschriften Archives fédérales suisses, Publications officielles numérisées Archivio federale svizzero, Pubblicazioni ufficiali digitali JAAC 68.172 - Déc. rendue par la Cour eur. DH le 4 mai 2004, déclarant partiellement irrecevable la req. n° 45228/99, Robert SPANG c / Suisse In Verwaltungspraxis der Bundesbehörden Dans Jurisprudence des autorités administratives de la Confédération In Giurisprudenza delle autorità amministrative della Confederazione Jahr 2004 Année Anno Band 68 Volume Volume Seite --- Page Pagina Ref. No 150 006 428 Das Dokument wurde durch das Schweizerische Bundesarchiv und die Bundeskanzlei konvertiert. Le document a été digitalisé par les Archives Fédérales Suisses et la Chancellerie fédérale. Il documento è stato convertito dall'Archivio federale svizzero e della Cancelleria federale.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