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68.158 vom 1. Juni 2004</w:t>
      </w:r>
    </w:p>
    <w:p>
      <w:r>
        <w:t>Bundesverwaltung, 2004-06-01, DE</w:t>
      </w:r>
    </w:p>
    <w:p>
      <w:r>
        <w:rPr>
          <w:b/>
        </w:rPr>
        <w:t xml:space="preserve">Quelle: </w:t>
      </w:r>
      <w:r>
        <w:t>https://mcp.opencaselaw.ch/entscheid/ch_vb_JAAC_68.158__</w:t>
      </w:r>
    </w:p>
    <w:p>
      <w:r>
        <w:t>FR: CH_VB JAAC 68.158 du 1 juin 2004</w:t>
      </w:r>
    </w:p>
    <w:p>
      <w:r>
        <w:t>IT: CH_VB JAAC 68.158 del 1 giugno 2004</w:t>
      </w:r>
    </w:p>
    <w:p>
      <w:pPr>
        <w:pStyle w:val="Heading2"/>
      </w:pPr>
      <w:r>
        <w:t>Erwägungen</w:t>
      </w:r>
    </w:p>
    <w:p>
      <w:r>
        <w:rPr>
          <w:b/>
        </w:rPr>
        <w:t>E. 9</w:t>
      </w:r>
    </w:p>
    <w:p>
      <w:r>
        <w:t>Die in Frage stehenden Weisungen in der Wegleitung und der Branchenbroschüre geben nur Auskunft über die Auslegung von Art. 26 Abs. 2 Satz 3 MWSTV, insbesondere die Auslegung der Begriffe «nahestehende Person» sowie «Wert, der unter unabhängigen Dritten vereinbart würde». Diese Auslegung wurde von der SRK sowie dem Bundesgericht bestätigt (oben E. 4a/cc und dd). Weisungen der ESTV über die Auslegung von gesetzlichen Bestimmungen haben keine Gesetzeskraft und gelten grundsätzlich ab Inkrafttreten der Bestimmungen, die sie auslegen, auch wenn sie einige Zeit nach diesem Zeitpunkt herausgegeben werden (Entscheide des Bundesgerichts vom 30. März 2001, veröffentlicht in Revue de droit administratif et de droit fiscal [RDAF] 2001 II S. 376 ff., E. 4c; vom 15. Mai 2000, veröffentlicht in Archiv für Schweizerisches Abgaberecht [ASA] 70 S. 589, E. 5b und c). Problematisch könnte die «rückwirkende» Anwendung von Weisungen (auch unter dem Gesichtspunkt des Vertrauensschutzes) höchstens bei Praxisänderungen sein. Eine solche wurde aber vorliegend nicht vorgenommen; die ESTV hat in diesen Weisungen erstmals Auskunft gegeben über die Auslegung der fraglichen Bestimmung, sie hat aber nicht eine früher geltende Auslegung geändert. Somit kann die rechtmässige Auslegung der MWSTV durch die ESTV ab Inkrafttreten der betroffenen Bestimmung Geltung beanspruchen. Die Berufung auf Treu und Glauben entbehrt der Voraussetzung der Vertrauensgrundlage (oben E. 4c). Weder hat die ESTV eine Auskunft gegeben, noch hat sie (wie bemerkt) ihre Praxis geändert, noch hat sie einen rechtswidrigen Zustand geduldet. Nach dem Selbstveranlagungsprinzip (oben E. 4b) ist die Steuerpflichtige im Übrigen selbst dafür verantwortlich, dass sie ihre Umsätze richtig versteuert. War der Beschwerdeführerin die Einordnung ihrer Vorzugsleistungen an die Angestellten nicht klar, hätte sie sich an die ESTV wenden und um eine Auskunft ersuchen können. Nachdem sie dies nicht getan hat, kann sie der ESTV kein treuwidriges Verhalten vorwerfen. (…) [8] Zu lesen auf der Internetseite des Bundesamtes für Justiz unter http://www. ofj.admin.ch/etc/medialib/data/staat_buerger/gesetzgebung/bundesverfassung. Par.0006.File.tmp/bv-alt-d.pdf [9] Die Drucksachen zur alten MWSTV von 1994 sind erhältlich bei der Eidgenössischen Steuerverwaltung, Hauptabteilung Mehrwertsteuer, Schwarztorstrasse 50, 3003 Bern, oder per Fax 031 325 72 80.</w:t>
      </w:r>
    </w:p>
    <w:p>
      <w:r>
        <w:rPr>
          <w:b/>
        </w:rPr>
        <w:t>E. 10</w:t>
      </w:r>
    </w:p>
    <w:p>
      <w:r>
        <w:t>Schweizerisches Bundesarchiv, Digitale Amtsdruckschriften Archives fédérales suisses, Publications officielles numérisées Archivio federale svizzero, Pubblicazioni ufficiali digitali JAAC 68.158 - Entscheid der Eidgenössischen Steuerrekurskommission vom 1. Juni 2004 in Sachen X. AG [SRK 2003-017] In Verwaltungspraxis der Bundesbehörden Dans Jurisprudence des autorités administratives de la Confédération In Giurisprudenza delle autorità amministrative della Confederazione Jahr 2004 Année Anno Band 68 Volume Volume Seite --- Page Pagina Ref. No 150 006 380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