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67.94 vom 17. März 2003</w:t>
      </w:r>
    </w:p>
    <w:p>
      <w:r>
        <w:t>Bundesverwaltung, 2003-03-17, DE</w:t>
      </w:r>
    </w:p>
    <w:p>
      <w:r>
        <w:rPr>
          <w:b/>
        </w:rPr>
        <w:t xml:space="preserve">Quelle: </w:t>
      </w:r>
      <w:r>
        <w:t>https://mcp.opencaselaw.ch/entscheid/ch_vb_JAAC_67.94__</w:t>
      </w:r>
    </w:p>
    <w:p>
      <w:r>
        <w:t>FR: CH_VB JAAC 67.94 du 17 mars 2003</w:t>
      </w:r>
    </w:p>
    <w:p>
      <w:r>
        <w:t>IT: CH_VB JAAC 67.94 del 17 marzo 2003</w:t>
      </w:r>
    </w:p>
    <w:p>
      <w:pPr>
        <w:pStyle w:val="Heading2"/>
      </w:pPr>
      <w:r>
        <w:t>Erwägungen</w:t>
      </w:r>
    </w:p>
    <w:p>
      <w:r>
        <w:rPr>
          <w:b/>
        </w:rPr>
        <w:t>E. 1</w:t>
      </w:r>
    </w:p>
    <w:p>
      <w:r>
        <w:t>Medizinprodukte. Verfahren der Marktüberwachung. Bezeichnung des Verfügungsadressaten. Rechtliches Gehör. Art. 29 Abs. 2 BV. Art. 6, Art. 30 Abs. 1, Art. 35 Abs. 1 und Art. 48 VwVG. Art. 55 und 101 OR. Art. 45 Abs. 5 HMG. - Parteifähigkeit: Für nicht rechts- und parteifähige Geschäftsbetriebe handeln in Beschwerdeverfahren ihre parteifähigen Inhaber (E. 1.2). - Nennung einer Hilfsperson als Verfügungsadressatin: Die unrichtige oder unvollständige Bezeichnung des Verfügungsadressaten führt nicht zur Nichtigkeit einer Verfügung, wenn sich der ins Recht gefasste Adressat aus dem Sachzusammenhang eindeutig ergibt. Im Rahmen der Marktüberwachung ist die Eröffnung einer Verfügung an einen Geschäftsbetrieb, in dem Hilfspersonen des Adressaten tätig sind, rechtsgenüglich (E. 3). - Rechtliches Gehör: Der Gehörsanspruch ist ausreichend gewahrt, wenn die Hilfsperson einer Partei vor Erlass einer belastenden Verfügung aufgefordert wird mitzuteilen, wie sie den rechtmässigen Zustand wieder herstellen will (E. 4.1). Ist einer Partei bekannt, dass ein Verfahren der Marktüberwachung durchgeführt wird und eine Verfügung erlassen werden könnte, ist ihr die Akteneinsicht nur auf Gesuch hin zu gewähren (E. 4.2). In der Begründung einer Verfügung müssen vorgängig mitgeteilte Beanstandungen nicht detailliert wiederholt werden (E. 4.3). Dispositivi medici. Procedura di sorveglianza del mercato. Indicazione dei destinatari della decisione. Diritto di essere sentito. Art. 29 cpv. 2 Cost. Art. 6, art. 30 cpv. 1, art. 35 cpv. 1 e art. 48 PA. Art. 55 e 101 CO. Art. 45 cpv. 5 LATer. - Qualità di parte: nella procedura ricorsuale, per le imprese commerciali che non hanno qualità di parte e capacità giuridica agiscono i titolari che hanno qualità di parte (consid. 1.2). - Menzione di una persona ausiliaria quale destinatario della decisione: l’indicazione errata o incompleta del destinatario della decisione non comporta la nullità di quest’ultima se il vero destinatario emerge in modo inequivocabile dal contesto. Nell’ambito della sorveglianza del mercato, la notifica di una decisione ad un’impresa commerciale nella quale sono attive persone ausiliarie del destinatario è sufficiente dal punto di vista giuridico (consid. 3). - Diritto di essere sentito: il diritto di essere sentito è sufficientemente garantito se la persona ausiliaria di una parte viene invitata, prima dell’emanazione di una decisione negativa, a comunicare come intende ricostituire la situazione conforme alle disposizioni legali (consid. 4.1). Se una parte è a conoscenza del fatto che vi è una procedura di sorveglianza del mercato e che potrebbe essere emanata una decisione,</w:t>
      </w:r>
    </w:p>
    <w:p>
      <w:r>
        <w:rPr>
          <w:b/>
        </w:rPr>
        <w:t>E. 1.1</w:t>
      </w:r>
    </w:p>
    <w:p>
      <w:r>
        <w:t>(Zuständigkeit)</w:t>
      </w:r>
    </w:p>
    <w:p>
      <w:r>
        <w:rPr>
          <w:b/>
        </w:rPr>
        <w:t>E. 1.2</w:t>
      </w:r>
    </w:p>
    <w:p>
      <w:r>
        <w:t>Zur Beschwerdeführung ist nur befugt, wer parteifähig ist - wer also am Beschwerdeverfahren als Partei teilnehmen kann (Art. 48 des Bundesgesetzes vom 20. Dezember 1968 über das Verwaltungsverfahren [VwVG], SR 172.021; vgl. U. Zimmerli/W. Kälin/R. Kiener, Grundlagen des öffentlichen Verfahrensrechts, Bern 1997, S. 112). Die Parteifähigkeit stellt eine Sachurteilsvoraussetzung dar, die von Amtes wegen zu prüfen ist (vgl. etwa B. Bovay, Procédure administrative, Berne 2000, p. 137). In den zu beurteilenden Beschwerden wird Z. als Beschwerdeführerin bezeichnet. Wie es sich im Laufe des Beschwerdeverfahrens gezeigt hat, handelt es sich bei Z. bloss um ein Geschäftslokal, dessen Inhaberin die Y. AG ist. Z. ist weder eine selbständige juristische Person noch als Firma einer natürlichen Person oder einer Kollektiv- oder Kommanditgesellschaft zuzuordnen (was sich allein schon aus der Bezeichnung ergibt, vgl. Art. 945 und 947 des Bundesgesetzes vom 30. März 1911 betreffend die Ergänzung des Schweizerischen Zivilgesetzbuches [OR], SR 220). Das Geschäft ist nicht rechtsfähig und - da kein Ausnahmefall gegeben ist - auch nicht parteifähig (vgl. I. Häner, Die Beteiligten im Verwaltungsverfahren und Verwaltungsprozess, Zürich 2000, Rz. 469 ff.; A. Kölz/I. Häner, Verwaltungsverfahren und Verwaltungsrechtspflege des Bundes, 2. Aufl., Zürich 1998, Rz. 260). Die Rechtsvertreterin der Beschwerdeführerin hat sich in den Beschwerdeverfahren durch Vollmachten der Y. AG ausgewiesen. In ihrer Eingabe vom 22. Oktober 2001 hat sie ausgeführt, auf die Beschwerden könne entweder als solche von Z. oder der Y. AG eingetreten werden. Sie widersetzt sich damit der Parteistellung der Y. AG nicht - was sich auch daraus ergibt, dass in der Replik vom 25. April 2002 die Y. AG als Beschwerdeführerin genannt wird, und dass sich diese anlässlich der mündlichen und öffentlichen Verhandlung vom 5. August 2002 durch ihren Geschäftsführer vertreten liess.</w:t>
      </w:r>
    </w:p>
    <w:p>
      <w:r>
        <w:rPr>
          <w:b/>
        </w:rPr>
        <w:t>E. 1.3</w:t>
      </w:r>
    </w:p>
    <w:p>
      <w:r>
        <w:t>Die Beschwerdeführerin ist als Inhaberin des Geschäftes Z. in ausreichender Weise durch die Anordnungen des BAG berührt. Sie hat ein schutzwürdiges Interesse an der Feststellung der Nichtigkeit, bzw. an der Aufhebung der angefochtenen Verfügungen, sind doch das angeordnete Vertriebsverbot und die Gebührenauflage geeignet, ihre wirtschaftlichen Interessen zu beeinträchtigen (Art. 48 Bst. a VwVG). Auf die frist- und formgerecht eingereichten Beschwerden ist daher einzutreten.</w:t>
      </w:r>
    </w:p>
    <w:p>
      <w:r>
        <w:rPr>
          <w:b/>
        </w:rPr>
        <w:t>E. 1.4</w:t>
      </w:r>
    </w:p>
    <w:p>
      <w:r>
        <w:t>(Teilweise Gegenstandslosigkeit der Beschwerden) 2. (Intertemporales Recht, vgl. VPB 67.31 E. 7)</w:t>
      </w:r>
    </w:p>
    <w:p>
      <w:r>
        <w:rPr>
          <w:b/>
        </w:rPr>
        <w:t>E. 2</w:t>
      </w:r>
    </w:p>
    <w:p>
      <w:r>
        <w:t>la possibilità di consultare gli atti le deve essere concessa solo se richiesta (consid. 4.2). Nella motivazione di una decisione non devono essere ripetute nel dettaglio osservazioni critiche già comunicate in precedenza (consid. 4.3). Aus den Erwägungen: 1. Angefochten ist einerseits eine Verfügung des Bundesamtes für Gesundheit (BAG) vom 12. Juli 2001, mit welcher Z. untersagt wurde, neun namentlich bezeichnete Präservative in nicht-konformer Ausführung in Verkehr zu bringen, und Z. zudem verpflichtet wurde, bis zum 31. August 2001 eine Liste des Lagerbestandes der genannten Präservative einzureichen. Andererseits ist eine Gebührenverfügung des BAG mit gleichem Datum angefochten, mit welcher die Gebühr für die nachträgliche Kontrolle der erwähnten Produkte auf Fr. 1’440.- festgelegt worden ist.</w:t>
      </w:r>
    </w:p>
    <w:p>
      <w:r>
        <w:rPr>
          <w:b/>
        </w:rPr>
        <w:t>E. 3</w:t>
      </w:r>
    </w:p>
    <w:p>
      <w:r>
        <w:t>Im vorliegenden Verfahren ist in erster Linie umstritten, ob die angefochtenen Verfügungen als nichtig zu qualifizieren sind, weil sie das nicht rechtsfähige Geschäft Z. als Verfügungsadressatin nennen.</w:t>
      </w:r>
    </w:p>
    <w:p>
      <w:r>
        <w:rPr>
          <w:b/>
        </w:rPr>
        <w:t>E. 3.1</w:t>
      </w:r>
    </w:p>
    <w:p>
      <w:r>
        <w:t>Gemäss Art. 45 Abs. 2 des Bundesgesetzes vom 15. Dezember 2000 über Arzneimittel und Medizinprodukte (HMG, SR 812.21) muss derjenige, der ein Medizinprodukt in der Schweiz in Verkehr bringt, nachweisen können, dass es die grundlegenden Anforderungen gemäss Art. 4 der Medizinprodukteverordnung vom 17. Oktober 2001 (MepV, SR 812.213) erfüllt. Diese gesundheitspolizeiliche Pflicht trifft eine bestimmte natürliche oder juristische Person oder allenfalls Personenmehrheit. Subjekt öffentlichrechtlicher Pflichten kann grundsätzlich nur sein, wer rechts- und in der Regel auch handlungsfähig ist (vgl. U. Häfelin/G. Müller, Grundriss des Allgemeinen Verwaltungsrechts, 3. Aufl., Zürich 1998, S. 157, Rz. 604). Die Beschwerdeführerin und nicht etwa ihr (nicht rechtsfähiger) Geschäftsbetrieb Z. hat im vorliegenden Verfahren als Inverkehrbringerin zu gelten, lässt diese doch die zu beurteilenden Medizinprodukte in der erwähnten Betriebsstätte verkaufen. Die Pflicht, jederzeit die Konformität der angebotenen Produkte mit den einschlägigen gesetzlichen Bestimmungen belegen zu können, trifft daher die Beschwerdeführerin. Aufgrund des Geschäftsgebarens der Beschwerdeführerin durfte die Vorinstanz davon ausgehen, dass die Inverkehrbringerin bei der Abgabe der zu beurteilenden Produkte Hilfspersonen beigezogen hat (Personal des Geschäftes Z.). Wer sich bei der Erfüllung öffentlichrechtlicher Pflichten durch Hilfspersonen vertreten lässt, hat für deren Handlungen einzustehen (Art. 55 und 101 OR in analogiam, vgl. etwa BGE 114 Ib 66 ff. E. 2, BGE 107 Ia 169 ff., BGE 94 I 251 f. E. 2.b). Das Tun und Unterlassen des im Geschäft Z. tätigen Personals im Zusammenhang mit dem Inverkehrbringen der zu beurteilenden Produkte und dem nachträglichen Kontrollverfahren ist damit der Beschwerdeführerin zuzurechnen. Unbeachtlich ist dabei, ob die Beschwerdeführerin bei der Instruktion ihrer Hilfspersonen die nötige Sorgfalt hat walten lassen, wie sie dies behauptet. Von Bedeutung ist einzig, «ob dem Geschäftsherrn eine Verletzung seiner Pflichten vorgeworfen werden könnte, wenn er sich selber so verhalten hätte, wie die Hilfsperson» (BGE 94</w:t>
      </w:r>
    </w:p>
    <w:p>
      <w:r>
        <w:rPr>
          <w:b/>
        </w:rPr>
        <w:t>E. 3.2</w:t>
      </w:r>
    </w:p>
    <w:p>
      <w:r>
        <w:t>Es trifft zu, dass die angefochtenen Verfügungen an das Geschäft Z. adressiert waren und dieses teilweise auch im Dispositiv nennen. Entgegen der Auffassung der Beschwerdeführerin wurde damit aber nicht etwa eine «Nichtperson» ins Recht gefasst, sondern einzig und allein die ins Recht gefasste Person (also die Y. AG) unrichtig, bzw. unvollständig bezeichnet. Nach dem Willen der verfügenden Behörde sollte diejenige Person verpflichtet werden, die als Inverkehrbringerin verantwortlich ist - was sich ohne weiteres aus der Begründung der Verfügungen und dem Umstand, dass die Verfügung in der Hauptsache an die Geschäftsführung von Z. eröffnet wurde, ergibt. Der Beschwerdeführerin, bzw. den in ihrer Vertretung handelnden Hilfspersonen im Geschäft Z. musste spätestens ab Erhalt des eingeschriebenen Briefes des BAG vom 10. Mai 2001 bewusst sein, dass bezüglich der zu beurteilenden Produkte ein Verfahren der Marktüberwachung geführt wurde; und sie mussten auch erkennen, dass die angefochtenen Verfügungen diesen Sachverhalt und die dafür öffentlichrechtlich verantwortliche Person betrafen. Dass dies auch tatsächlich der Fall gewesen ist zeigt sich darin, dass die Beschwerdeführerin am 10. August 2001 eine Rechtsvertreterin beauftragte und durch diese fristgerecht Beschwerden einreichen liess. Obwohl nicht zu verkennen ist, dass das BAG kaum alle Möglichkeiten ausgeschöpft hat, um die Identität der Inverkehrbringerin zu ermitteln, ist die fehlerhafte Parteibezeichnung in den angefochtenen Verfügungen doch in erster Linie auf das Verhalten der Beschwerdeführerin zurückzuführen, die sich in Verletzung ihrer Mitwirkungspflicht (Art. 13 Abs. 1 Bst. c VwVG in Verbindung mit Art. 45 Abs. 2 HMG, bzw. Art. 10 des Bundesgesetzes vom 19. März 1976 über die Sicherheit von technischen Einrichtungen und Geräten [STEG], SR 819.1) während dem gesamten Verfahren vor der Vorinstanz nicht zu erkennen gab. Es grenzt an Rechtsmissbrauch, wenn sich die Beschwerdeführerin nun auf den Standpunkt stellt, Verfügungsadressat der angefochtenen Verfügungen sei eine «Nichtperson».</w:t>
      </w:r>
    </w:p>
    <w:p>
      <w:r>
        <w:rPr>
          <w:b/>
        </w:rPr>
        <w:t>E. 4</w:t>
      </w:r>
    </w:p>
    <w:p>
      <w:r>
        <w:t>I 251; vgl. T. Guhl/A. Koller, Das Schweizerische Obligationenrecht, 9. Aufl., Zürich 2000, S. 247 f.). Die Einvernahme des von der Beschwerdeführerin in diesem Zusammenhang genannten Zeugen erübrigt sich daher.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