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67.84 vom 6. Februar 1991</w:t>
      </w:r>
    </w:p>
    <w:p>
      <w:r>
        <w:t>Bundesverwaltung, 1991-02-06, DE</w:t>
      </w:r>
    </w:p>
    <w:p>
      <w:r>
        <w:rPr>
          <w:b/>
        </w:rPr>
        <w:t xml:space="preserve">Quelle: </w:t>
      </w:r>
      <w:r>
        <w:t>https://mcp.opencaselaw.ch/entscheid/ch_vb_JAAC_67.84__</w:t>
      </w:r>
    </w:p>
    <w:p>
      <w:r>
        <w:t>FR: CH_VB JAAC 67.84 du 6 février 1991</w:t>
      </w:r>
    </w:p>
    <w:p>
      <w:r>
        <w:t>IT: CH_VB JAAC 67.84 del 6 febbraio 1991</w:t>
      </w:r>
    </w:p>
    <w:p>
      <w:pPr>
        <w:pStyle w:val="Heading2"/>
      </w:pPr>
      <w:r>
        <w:t>Erwägungen</w:t>
      </w:r>
    </w:p>
    <w:p>
      <w:r>
        <w:rPr>
          <w:b/>
        </w:rPr>
        <w:t>E. 3</w:t>
      </w:r>
    </w:p>
    <w:p>
      <w:r>
        <w:t>Der Beschwerdeführer rügt, das angefochtene Urteil verletze die Unschuldsvermutung gemäss Art. 6 Abs. 2 EMRK, und zwar sowohl in ihrer Bedeutung als Regel der Beweiswürdigung wie in ihrer Bedeutung als Beweislastregel. Die Missachtung der Unschuldsvermutung gelte zugleich als Rechtsverweigerung im Sinne von Art. 4 BV. a. (…) b. Der Beschwerdeführer macht im weiteren geltend, die Vorinstanz wende die Beweislastregel des Art. 6 Abs. 2 EMRK falsch an, wenn sie vom Beschwerdeführer den Nachweis verlange, dass er die Bezüge für die Firma verwendet habe. Da das Verwaltungsgericht diese Rüge implizit zurückgewiesen hat, mithin ein Versehen des Verwaltungsgerichts ausgeschlossen erscheint, wäre nach der Rechtsprechung die Revision vorgängig zur staatsrechtlichen Beschwerde nicht zwingend vorgeschrieben (vgl. BGE 110 Ia 138 E. 2a). Indessen braucht darüber nicht entschieden zu werden, und auch die Frage, ob es sich bei der behaupteten Verletzung der Beweislastregel um ein unzulässiges neues (rechtliches) Vorbringen handelt, kann offen bleiben, da die Rüge materiell offensichtlich unbegründet ist. Die Steuerbehörde hat im Nach- und Strafsteuerverfahren nachzuweisen, dass bestimmte Einkünfte nicht versteuert worden sind. Demgegenüber hat der Pflichtige allfällige steuermindernde Umstände glaubhaft zu machen. Die Regel, dass die Anklagebehörde alle für den Schuldspruch wesentlichen Tatsachen zu beweisen hat, kann - selbst wenn die Geltung von Art. 6 EMRK für das Nach- und Strafsteuerverfahren unterstellt würde - nicht bedeuten, dass die Steuerbehörden auch noch zu beweisen hätten, dass kein steuermindernder oder -aufhebender Tatbestand vorliegt. Ein derartiger negativer Beweis wäre nicht nur äusserst schwierig zu führen, sondern würde den Steuerdelinquenten gegenüber dem ehrlichen Steuerpflichtigen in ungerechtfertigter Weise begünstigen. Die vom Beschwerdeführer beim fraglichen Y.-Bank-Konto abgehobenen Beträge sind unzweifelhaft ihm persönlich zugeflossen. Es ist daher an ihm, allfällige steuermindernde Umstände glaubhaft zu machen. Für seine Behauptung, diese Beträge ausnahmslos an B. weitergegeben zu haben, ist er indessen den Nachweis</w:t>
      </w:r>
    </w:p>
    <w:p>
      <w:r>
        <w:rPr>
          <w:b/>
        </w:rPr>
        <w:t>E. 4</w:t>
      </w:r>
    </w:p>
    <w:p>
      <w:r>
        <w:t>Zusammenfassend ergibt sich, dass auf die meisten der erhobenen Rügen nicht eingetreten werden kann. Im Übrigen erweisen sich diese offensichtlich als unbegründet. Bei diesem Ausgang des Verfahrens sind dem Beschwerdeführer die bundesgerichtlichen Kosten aufzuerlegen (Art. 156 Abs. 1 OG). Die staatsrechtliche Beschwerde wird abgewiesen, soweit auf sie einzutreten ist. [17] Zu lesen auf der Internetseite des Bundesamtes für Justiz unter http://www.ofj.admin.ch/etc/medialib/data/staat_buerger/gesetzgebung/ bundesverfassung.Par.0006.File.tmp/bv-alt-d.pdf</w:t>
      </w:r>
    </w:p>
    <w:p>
      <w:r>
        <w:rPr>
          <w:b/>
        </w:rPr>
        <w:t>E. 6</w:t>
      </w:r>
    </w:p>
    <w:p>
      <w:r>
        <w:t>Schweizerisches Bundesarchiv, Digitale Amtsdruckschriften Archives fédérales suisses, Publications officielles numérisées Archivio federale svizzero, Pubblicazioni ufficiali digitali JAAC 67.84 - Urteil des Schweizerischen Bundesgerichts, II. öffentlichrechtliche Abteilung, vom 6. Februar 1991, in Sachen X., Beschwerdeführer, gegen den Kanton Zürich. Bestätigt durch den Unzulässigkeitsentscheid der Europäischen Menschenrechtskomm... In Verwaltungspraxis der Bundesbehörden Dans Jurisprudence des autorités administratives de la Confédération In Giurisprudenza delle autorità amministrative della Confederazione Jahr 2003 Année Anno Band 67 Volume Volume Seite --- Page Pagina Ref. No 150 006 137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