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67.79 vom 20. Januar 2003</w:t>
      </w:r>
    </w:p>
    <w:p>
      <w:r>
        <w:t>Bundesverwaltung, 2003-01-20, DE</w:t>
      </w:r>
    </w:p>
    <w:p>
      <w:r>
        <w:rPr>
          <w:b/>
        </w:rPr>
        <w:t xml:space="preserve">Quelle: </w:t>
      </w:r>
      <w:r>
        <w:t>https://mcp.opencaselaw.ch/entscheid/ch_vb_JAAC_67.79__</w:t>
      </w:r>
    </w:p>
    <w:p>
      <w:r>
        <w:t>FR: CH_VB JAAC 67.79 du 20 janvier 2003</w:t>
      </w:r>
    </w:p>
    <w:p>
      <w:r>
        <w:t>IT: CH_VB JAAC 67.79 del 20 gennaio 2003</w:t>
      </w:r>
    </w:p>
    <w:p>
      <w:pPr>
        <w:pStyle w:val="Heading2"/>
      </w:pPr>
      <w:r>
        <w:t>Erwägungen</w:t>
      </w:r>
    </w:p>
    <w:p>
      <w:r>
        <w:rPr>
          <w:b/>
        </w:rPr>
        <w:t>E. 3</w:t>
      </w:r>
    </w:p>
    <w:p>
      <w:r>
        <w:t>der Steuerzahllast verstösst nach einer Prüfung durch die SRK nicht gegen Bundesrecht (vgl. Art. 47 Abs. 3 MWSTV), zumal es dem Leistungserbringer in jedem Fall unbenommen ist, die umsatzmässigen Voraussetzungen seiner Mehrwertsteuerpflicht effektiv zu berechnen. Dies kann der Leistungserbringer immer dann tun, wenn er zur eigenen Überzeugung gelangt, die Pauschalmethode führe nicht zu einem rechtmässigen Ergebnis. c. Verwendet der Mehrwertsteuerpflichtige Gegenstände oder Dienstleistungen für steuerbare Ausgangsleistungen, so kann er in seiner Mehrwertsteuerabrechnung die ihm von anderen Mehrwertsteuerpflichtigen mit den Angaben nach Art. 28 MWSTV in Rechnung gestellte Mehrwertsteuer für Lieferungen und Dienstleistungen abziehen (Art. 29 Abs. 1 und 2 MWSTV). Die Rechnung des Leistungserbringers muss enthalten: seinen Namen und seine Adresse sowie seine Mehrwertsteuernummer; Namen und Adresse des Leistungsempfängers; Datum oder Zeitraum der Leistung; Art, Gegenstand und Umfang der Leistung; das Entgelt; den geschuldeten Mehrwertsteuerbetrag (Art. 28 Abs. 1 MWSTV). 3.a. Im vorliegenden Fall wird die Nachforderung der ESTV für die Steuerperioden 1. Quartal 2000 bis 4. Quartal 2000 in Höhe von Fr. 6’403.- zuzüglich Verzugszins in rechnerischer und damit in tatsächlicher Hinsicht nicht, sondern lediglich dem Grundsatze nach angefochten. Namentlich macht der Beschwerdeführer geltend, die Steuerzahllast von Fr. 4’000.- erst im Jahre 2000 überschritten zu haben, so dass seine Mehrwertsteuerpflicht per 1. Januar 2001 gegeben sei. Zu befinden ist folglich darüber, ob der Beschwerdeführer bereits per 1. Januar 2000 subjektiv steuerpflichtig ist bzw. ob er im Jahre 1999 die Steuerzahllast von Fr. 4’000.- erreicht hat. b. Der Beschwerdeführer erzielte nach eigenen Angaben im Jahre 1999 einen massgeblichen Umsatz von Fr. 87’987.- sowie einen Warenaufwand in Höhe von Fr. 12’208.-. Nach der Pauschalmethode ergibt sich folgende Steuerzahllast: Steuer 87’987 × 7.5 107.5 Fr. 6’139.- Vorsteuer - Warenaufwand: 12’208 × 7.5 107.5 Fr. 852.- - übrige: 87’987 × 0.7% Fr. 616.- Fr. 1’468.- Steuerzahllast Fr. 4’671.- Bei einer Steuerzahllast des Beschwerdeführers in Höhe von Fr. 4’671.- im Jahre 1999 wird er per 1. Januar 2000 mehrwertsteuerpflichtig. Mit Recht hat ihn daher die ESTV mit Wirkung ab diesem Datum in das Register der</w:t>
      </w:r>
    </w:p>
    <w:p>
      <w:r>
        <w:rPr>
          <w:b/>
        </w:rPr>
        <w:t>E. 4</w:t>
      </w:r>
    </w:p>
    <w:p>
      <w:r>
        <w:t>Mehrwertsteuerpflichtigen eingetragen. Gegen die eigentliche zahlenmässige Ermittlung dieser Steuerzahllast erhebt der Beschwerdeführer keine Einwendungen. Er hält vielmehr entgegen, die Steuerzahllast sei effektiv zu berechnen. Dabei ergäbe sich ein anderes Bild. Wie es sich damit verhält, ist nachfolgend zu prüfen. c.aa. Der Beschwerdeführer reicht eine Zusammenstellung der für die Berechnung der Mehrwertsteuer relevanten Positionen seiner Buchhaltung ein («MWST-Verprobung»), mit der er nach seinen eigenen Berechnungen für das Jahr 1999 eine Steuerzahllast von Fr. 3’462.60 ausweist (Mehrwertsteuer: Fr. 6’666.59 abzüglich Vorsteuer auf Material und Dienstleistungen: Fr. 1’105.93 und Vorsteuer auf Investitionen und übrigem Betriebsaufwand: Fr. 2’098.07). Diese effektive Berechnung zeige, dass der Beschwerdeführer im fraglichen Jahr die Steuerzahllast von Fr. 4’000.- nicht überschreite, weshalb er der subjektiven Mehrwertsteuerpflicht erst ab dem Jahre 2001 unterliege. bb. Mit Recht hält die ESTV dafür, es seien einzelne Vorsteuerabzüge des Beschwerdeführers zu korrigieren: Zunächst weist die Rechnung der A GmbH vom 1. Dezember 1999 an den Beschwerdeführer bezüglich Kauf eines Computers zum Preis von Fr. 950.- keine Mehrwertsteuer aus. Folglich war der Beschwerdeführer nicht zum entsprechenden Vorsteuerabzug von Fr. 66.28 berechtigt. Davon ausgehend, beim Beschwerdeführer handle es sich um einen Einmannbetrieb, akzeptiert die ESTV ferner nicht, dass dieser zwei Geschäftsfahrzeuge ausweist. Bei einem gesamten Personalaufwand von Fr. 3’470.59 ist die Annahme berechtigt, es handle sich beim Beschwerdeführer um einen Einmannbetrieb. Selbst wenn der Beschwerdeführer demgegenüber einen festen Mitarbeiter beschäftigen würde, wäre die ESTV angesichts der geringen Unternehmensgrösse zur Annahme berechtigt, nicht zwei Fahrzeuge seien betriebsnotwendig bzw. nicht beide könnten gleichzeitig geschäftsmässig begründeten Aufwand generieren. Demnach ist zwar die auf den Aufwendungen für den Lieferwagen lastende Mehrwertsteuer abzugsberechtigt, nicht aber jene bezüglich des Personenwagens, ausmachend Fr. 379.70 (Vorsteuer aus Service und Reparaturen im Gesamtbetrag von Fr. 125.65 zuzüglich Vorsteuer von Fr. 418.24 auf Leasinggebühr [Fr. 5’576.16] zuzüglich Vorsteuer von Fr. 86.97 auf hälftigem Benzinaufwand [Fr. 1’159.73] abzüglich Vorsteuer von Fr. 251.16 auf Privatanteil am Fahrzeugaufwand [Fr. 3’348.84] aufgrund der Ausscheidung des Personenwagens aus der Geschäftssphäre). Schliesslich korrigiert die ESTV für die Berechnung der Steuerzahllast zu Recht den für den Kauf des Lieferwagens ausgewiesenen Vorsteuerbetrag in der Höhe von Fr. 568.01 («MWST-Verprobung») um Fr. 422.31 (Fr. 568.01 abzüglich Fr. 145.70). Denn der Beschwerdeführer ist zu einem Vorsteuerabzug von lediglich Fr. 145.70 berechtigt (Kauf des Fahrzeuges zum Preis von Fr. 9’713.- und ausgewiesener Mehrwertsteuer von Fr. 728.50; 20% davon sind für eine Berechnung der Steuerzahllast gemäss Art. 19 Abs. 1 Bst. a</w:t>
      </w:r>
    </w:p>
    <w:p>
      <w:r>
        <w:rPr>
          <w:b/>
        </w:rPr>
        <w:t>E. 5</w:t>
      </w:r>
    </w:p>
    <w:p>
      <w:r>
        <w:t>MWSTV abzugsberechtigt = Fr. 145.70 [Broschüre «Steuerpflicht bei der Mehrwertsteuer», Ausgabe August 1999; Ziff. 2.7, in Verbindung mit Kreisschreiben Nr. 15 der ESTV DBST[7], vom 27. September 1994]). cc. Nach der effektiven Methode berechnet ergibt sich demzufolge eine Steuerzahllast des Beschwerdeführers im Jahre 1999 von Fr. 4’330.88 (Fr. 3’462.59 [gemäss Deklaration Beschwerdeführer] zuzüglich Korrekturen gemäss E. bb hievor in den Beträgen von Fr. 66.28, Fr. 379.70 und Fr. 422.31). Auch danach beginnt seine subjektive Mehrwertsteuerpflicht am 1. Januar 2000. d. Der Beschwerdeführer hält ferner dafür, bei der Ermittlung der Steuerzahllast seien noch die Korrekturen «Rückbuchungen Debitoren 1998» (Fr. - 55.81), «Rückbuchungen angefangene Arbeiten 1998» (Fr. - 246.42) und «Debitoren per 31.12.1999» (Fr. + 70.81) zu berücksichtigen. Er verkennt dabei, dass sich der für die Feststellung der Mehrwertsteuerpflicht massgebende Umsatz nach den vereinnahmten Entgelten bemisst (E. 2a hievor), und nicht nach offenen Debitorenposten oder angefangenen Arbeiten. Im Übrigen erreichte der Beschwerdeführer selbst unter Berücksichtigung dieser Korrekturen im Jahre 1999 die Steuerzahllast von Fr. 4’000.- (siehe E. c/cc hievor). 4. Dem Gesagten zufolge ist die Beschwerde abzuweisen. Es ist festzustellen, dass der Beschwerdeführer von der Verwaltung zu Recht auf den 1. Januar 2000 als mehrwertsteuerpflichtig erklärt und in das von der ESTV geführte Register der Mehrwertsteuerpflichtigen eingetragen worden ist. (Kostenverlegung) [6] Die Drucksachen zur alten MWSTV sind erhältlich bei der Eidgenössischen Steuerverwaltung, Hauptabteilung Mehrwertsteuer, Schwarztorstrasse 50, 3003 Bern oder per Fax 031 325 72 80 [7] Kreisschreiben sind erhältlich bei der Eidgenössischen Steuerverwaltung Hauptabteilung Direkte Bundessteuer, Verrechnungssteuer, Stempelabgaben, Eigerstrasse 65, 3003 Bern oder abrufbar unter: http://www.estv.admin.ch/ data/dvs/druck/kreis/d/kreis.htm</w:t>
      </w:r>
    </w:p>
    <w:p>
      <w:r>
        <w:rPr>
          <w:b/>
        </w:rPr>
        <w:t>E. 6</w:t>
      </w:r>
    </w:p>
    <w:p>
      <w:r>
        <w:t>Schweizerisches Bundesarchiv, Digitale Amtsdruckschriften Archives fédérales suisses, Publications officielles numérisées Archivio federale svizzero, Pubblicazioni ufficiali digitali JAAC 67.79 - Entscheid der Eidgenössischen Steuerrekurskommission vom 20. Januar 2003 [SRK 2002-069] In Verwaltungspraxis der Bundesbehörden Dans Jurisprudence des autorités administratives de la Confédération In Giurisprudenza delle autorità amministrative della Confederazione Jahr 2003 Année Anno Band 67 Volume Volume Seite --- Page Pagina Ref. No 150 006 119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