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67.37 vom 12. Februar 2003</w:t>
      </w:r>
    </w:p>
    <w:p>
      <w:r>
        <w:t>Bundesverwaltung, 2003-02-12, DE</w:t>
      </w:r>
    </w:p>
    <w:p>
      <w:r>
        <w:rPr>
          <w:b/>
        </w:rPr>
        <w:t xml:space="preserve">Quelle: </w:t>
      </w:r>
      <w:r>
        <w:t>https://mcp.opencaselaw.ch/entscheid/ch_vb_JAAC_67.37__</w:t>
      </w:r>
    </w:p>
    <w:p>
      <w:r>
        <w:t>FR: CH_VB JAAC 67.37 du 12 février 2003</w:t>
      </w:r>
    </w:p>
    <w:p>
      <w:r>
        <w:t>IT: CH_VB JAAC 67.37 del 12 febbraio 2003</w:t>
      </w:r>
    </w:p>
    <w:p>
      <w:pPr>
        <w:pStyle w:val="Heading2"/>
      </w:pPr>
      <w:r>
        <w:t>Erwägungen</w:t>
      </w:r>
    </w:p>
    <w:p>
      <w:r>
        <w:rPr>
          <w:b/>
        </w:rPr>
        <w:t>E. 1</w:t>
      </w:r>
    </w:p>
    <w:p>
      <w:r>
        <w:t>Erteilt der neue Art. 112a BV, der die Ergänzungsleistungen in der Alters-, Hinterlassenen- und Invalidenversicherung (AHV/IV) zum Inhalt hat und der im Rahmen der Neugestaltung des Finanzausgleichs und der Aufgaben zwischen Bund und Kantonen (NFA; BBl 2002 2434 ff.) in die Bundesverfassung aufgenommen werden soll, dem Bund auch die Kompetenz, die Kantone zur Ausrichtung von Ergänzungsleistungen für Familien im Sinne des Tessiner Modells zu verpflichten?</w:t>
      </w:r>
    </w:p>
    <w:p>
      <w:r>
        <w:rPr>
          <w:b/>
        </w:rPr>
        <w:t>E. 2</w:t>
      </w:r>
    </w:p>
    <w:p>
      <w:r>
        <w:t>Der neue Art. 112a BV soll Art. 196 Ziff. 10 BV ersetzen. Nach der noch geltenden Lösung ist es den Kantonen grundsätzlich freigestellt, ob und in welchem Rahmen sie Ergänzungsleistungen zur AHV/IV ausrichten. Nach Art. 1 ELG richtet der Bund allerdings nur in jenen Kantonen Subventionen aus, in welchen die kantonalen Ergänzungsleistungen nach den Vorschriften des ELG ausgestaltet sind.</w:t>
      </w:r>
    </w:p>
    <w:p>
      <w:r>
        <w:rPr>
          <w:b/>
        </w:rPr>
        <w:t>E. 3</w:t>
      </w:r>
    </w:p>
    <w:p>
      <w:r>
        <w:t>Mit der neuen Verfassungsbestimmung soll die bisher als Übergangsbestimmung ausgestaltete Regelung ins ordentliche Verfassungsrecht überführt werden. Bund und Kantone sollen neu verpflichtet werden, zur Deckung des Existenzbedarfs bei der Alters,- Hinterlassenen- und Invalidenversicherung Ergänzungsleistungen auszurichten. Ausserdem wird dem Bund die Kompetenz erteilt, den Umfang, die Aufgabenteilung und die Zuständigkeiten von Bund und Kantonen in einem Gesetz zu regeln.</w:t>
      </w:r>
    </w:p>
    <w:p>
      <w:r>
        <w:rPr>
          <w:b/>
        </w:rPr>
        <w:t>E. 4</w:t>
      </w:r>
    </w:p>
    <w:p>
      <w:r>
        <w:t>Art. 112a hat die Ergänzungsleistungen in der Alters-, Hinterlassenen- und Invalidenversicherung zum Inhalt. Die neue Verpflichtung an Bund und Kantone zur Ausrichtung von Ergänzungsleistungen bezieht sich ausschliesslich auf Ergänzungsleistungen im AHV/IV-Bereich. Im Zusammenhang mit der 10. AHV-Revision war der Geltungsbereich des ELG mit den damals eingefügten Art. 2a, 2b und 2c erweitert worden. Seither können Ergänzungsleistungen auch Personen ausgerichtet werden, die noch nicht AHV- oder IV-berechtigt sind. Eine Erweiterung des Geltungsbereichs in diesem Rahmen bewegt sich innerhalb des von der Verfassungsbestimmung abgedeckten Bereichs der AHV/IV. Eine generelle Ausdehnung der bezugsberechtigten Personen im Sinne von Ergänzungsleistungen für Familien würde hingegen die Grenzen von Art. 112a sprengen. Diese Bestimmung enthält keine Kompetenz für den Bund, die ihm erlauben würde, die Kantone zu Ergänzungsleistungen für Familien zu verpflichten.</w:t>
      </w:r>
    </w:p>
    <w:p>
      <w:r>
        <w:rPr>
          <w:b/>
        </w:rPr>
        <w:t>E. 5</w:t>
      </w:r>
    </w:p>
    <w:p>
      <w:r>
        <w:t>Im Zeitpunkt der Erstellung des Gutachtens vom 11. Dezember 2001 war noch offen, in welchem Rahmen und in welcher Form die parlamentarischen Initiativen Fehr und Meier-Schatz umgesetzt werden würden. Daher hat das BJ damals lediglich festgehalten, dass es dem Bund freistehe, in welchem Umfang er seine Regelungskompetenzen wahrnehme, dass er allerdings das Subsidiaritätsprinzip und das Prinzip des Vollzugsföderalismus zu beachten habe. Nachdem nun feststeht, dass die Ergänzungsleistungen für Familien im ELG geregelt werden sollen, stellt sich die Frage, wie der Bund dabei den genannten Prinzipien Nachachtung verschaffen kann.</w:t>
      </w:r>
    </w:p>
    <w:p>
      <w:r>
        <w:rPr>
          <w:b/>
        </w:rPr>
        <w:t>E. 6</w:t>
      </w:r>
    </w:p>
    <w:p>
      <w:r>
        <w:t>Das BJ hat sich bereits ausführlich zum Subsidiaritätsprinzip und zum Prinzip des Vollzugsföderalismus geäussert (vgl. Gutachten vom 11. Dezember 2001, römisch II). Der Bund soll demnach jeweils im Rahmen seiner Kompetenzen nur jene Bereiche an sich ziehen, die einer einheitlichen Regelung bedürfen (Subsidiaritätsprinzip) und dabei die Einzelheiten für den Vollzug nur soweit selber regeln, als dies für die gute Aufgabenerfüllung notwendig ist (Prinzip des Vollzugsföderalismus). Es ist vorgesehen, das Subsidiaritätsprinzip im Rahmen der NFA ausdrücklich in der Verfassung zu verankern, nachdem dies im Rahmen der Nachführung der Bundesverfassung bereits vorgeschlagen, in der parlamentarischen Beratung jedoch abgelehnt worden war (BBl 2002 2457 ff.).</w:t>
      </w:r>
    </w:p>
    <w:p>
      <w:r>
        <w:rPr>
          <w:b/>
        </w:rPr>
        <w:t>E. 7</w:t>
      </w:r>
    </w:p>
    <w:p>
      <w:r>
        <w:t>Für die Regelung der Ergänzungsleistungen für Familien stellt sich somit die Frage, ob es sich dabei um eine Aufgabe handelt, die einer einheitlichen Regelung im Sinne von Art. 42 Abs. 2 BV bedarf. Die parlamentarischen Initiativen Fehr und Meier-Schatz haben beide zum Ziel, der zunehmenden Armut in kinderreichen Familien und in Familien mit kleinen Kindern entgegenzuwirken. Die zahlreichen, von den ausgerichteten Leistungen her zum Teil sehr unterschiedlichen kantonalen Familienzulagenregelungen, die zumeist nicht bedarfsorientiert konzipiert sind, tragen schweizweit nur ungenügend zur Entschärfung des Problems bei. Eine Bundeslösung, die geeignet ist, die Familienlasten wenigstens in einem gewissen Rahmen auf die gesamte Bevölkerung zu verteilen, erscheint daher als angezeigt. Das 5</w:t>
      </w:r>
    </w:p>
    <w:p>
      <w:r>
        <w:t>BJ verweist hiezu auf seine diesbezüglichen Ausführungen im Gutachten unter römisch III Ziff. 1.2. Insbesondere erscheint es dann gerechtfertigt, eine einheitliche Bundeslösung anzustreben, wenn die unterschiedlichen kantonalen Lösungen, die zu einer bundesweit gesehen ungerechten Situation führen, zumindest teilweise auf die ungleiche jeweilige Finanzkraft der Kantone zurückzuführen sind. In diesem Sinne finden sich auch Äusserungen zum Subsidiaritätsprinzip in der Botschaft zum NFA (BBl 2002 2457 ff.). Dort wird in Art. 43a Abs. 1 BV neu die Präzisierung vorgeschlagen, dass der Bund Aufgaben wahrnehmen soll, die die Kraft der Kantone übersteigen.</w:t>
      </w:r>
    </w:p>
    <w:p>
      <w:r>
        <w:rPr>
          <w:b/>
        </w:rPr>
        <w:t>E. 8</w:t>
      </w:r>
    </w:p>
    <w:p>
      <w:r>
        <w:t>Berücksichtigt man den demographischen Aspekt von Ergänzungsleistungen für Familien als Instrument der Familienförderung, liegt es nahe, die staatliche Leistung von demjenigen Gemeinwesen erbringen zu lassen, welches den grössten Nutzen aus der Leistung zieht (vgl. hiezu die Ausführungen zu Art. 43a Abs. 2 und 3 NFA, BBl 2002 2459). Die Förderung einer zukünftigen leistungsfähigen Generation bringt Nutzen für die ganze Gesellschaft. Vom Bund geregelte Ergänzungsleistungen für Familien sind daher auch von diesem Standpunkt aus gerechtfertigt und mit dem Subsidiaritätsprinzip vereinbar.</w:t>
      </w:r>
    </w:p>
    <w:p>
      <w:r>
        <w:rPr>
          <w:b/>
        </w:rPr>
        <w:t>E. 9</w:t>
      </w:r>
    </w:p>
    <w:p>
      <w:r>
        <w:t>Wie die Einzelheiten des Vollzugs geregelt werden sollen, ergibt sich nach Ansicht des BJ bereits aus der Entscheidung, die Ergänzungsleistungen für Familien ins ELG einzufügen. Diese Entscheidung begründet sich damit, dass man dieselben Vollzugsinstrumente nutzen möchte, die sich für die Ergänzungsleistungen im AHV/IV-Bereich bewährt haben. Indem die bestehenden kantonalen Vollzugsinstrumente für die Ergänzungsleistungen für Familien ebenfalls Anwendung finden, ist dem Prinzip des Vollzugsföderalismus Nachachtung verschafft. 6</w:t>
      </w:r>
    </w:p>
    <w:p>
      <w:r>
        <w:t>Schweizerisches Bundesarchiv, Digitale Amtsdruckschriften Archives fédérales suisses, Publications officielles numérisées Archivio federale svizzero, Pubblicazioni ufficiali digitali JAAC 67.37 - Gutachten des Bundesamtes für Justiz vom 12. Februar 2003 In Verwaltungspraxis der Bundesbehörden Dans Jurisprudence des autorités administratives de la Confédération In Giurisprudenza delle autorità amministrative della Confederazione Jahr 2003 Année Anno Band 67 Volume Volume Seite --- Page Pagina Ref. No 150 005 981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