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67.13 vom 27. März 2001</w:t>
      </w:r>
    </w:p>
    <w:p>
      <w:r>
        <w:t>Bundesverwaltung, 2001-03-27, DE</w:t>
      </w:r>
    </w:p>
    <w:p>
      <w:r>
        <w:rPr>
          <w:b/>
        </w:rPr>
        <w:t xml:space="preserve">Quelle: </w:t>
      </w:r>
      <w:r>
        <w:t>https://mcp.opencaselaw.ch/entscheid/ch_vb_JAAC_67.13__</w:t>
      </w:r>
    </w:p>
    <w:p>
      <w:r>
        <w:t>FR: CH_VB JAAC 67.13 du 27 mars 2001</w:t>
      </w:r>
    </w:p>
    <w:p>
      <w:r>
        <w:t>IT: CH_VB JAAC 67.13 del 27 marzo 2001</w:t>
      </w:r>
    </w:p>
    <w:p>
      <w:pPr>
        <w:pStyle w:val="Heading2"/>
      </w:pPr>
      <w:r>
        <w:t>Erwägungen</w:t>
      </w:r>
    </w:p>
    <w:p>
      <w:r>
        <w:rPr>
          <w:b/>
        </w:rPr>
        <w:t>E. 1</w:t>
      </w:r>
    </w:p>
    <w:p>
      <w:r>
        <w:t>Aus den Erwägungen: Dem Beschwerdeführer wurden zwei Verfügungen eröffnet, die beide mit einer Rechtsmittelbelehrung versehen waren. Es ist daher verständlich, dass der Beschwerdeführer gegen beide Verfügungen eine Beschwerde erhoben hat. Allerdings betreffen die beiden Verfügungen dasselbe Forschungsgesuch und es stellt sich daher die Frage, ob in rechtlicher Hinsicht von einem oder von zwei Beschwerdeverfahren auszugehen ist. Obwohl der Schweizerische Nationalfonds (SNF) nicht Teil der Bundesverwaltung ist, hat er sich verfahrensmässig weitgehend dem Verwaltungsrecht zu unterziehen. So haben die Verfügungen des SNF bestimmten Anforderungen zu genügen, die das Bundesgesetz vom 20. Dezember 1968 über das Verwaltungsverfahren (VwVG, SR 172.021) aufstellt (Art. 13 Abs. 1 des Forschungsgesetzes vom 7. Oktober 1983 [FG], SR 420.1). Wird gegen eine Verfügung des SNF eine Beschwerde erhoben, so untersteht das Verfahren, das vor der Eidgenössischen Rekurskommission für Forschungsförderung abläuft, ebenfalls den Regeln des VwVG (Art. 13 Abs. 5 FG, Art. 71a Abs. 2 VwVG). Zu diesen Regeln gehört Art. 58 VwVG, der folgenden Wortlaut hat: «1 Die Vorinstanz kann bis zu ihrer Vernehmlassung die angefochtene Verfügung in Wiedererwägung ziehen.</w:t>
      </w:r>
    </w:p>
    <w:p>
      <w:r>
        <w:rPr>
          <w:b/>
        </w:rPr>
        <w:t>E. 2</w:t>
      </w:r>
    </w:p>
    <w:p>
      <w:r>
        <w:t>Sie eröffnet eine neue Verfügung ohne Verzug den Parteien und bringt sie der Beschwerdeinstanz zur Kenntnis.</w:t>
      </w:r>
    </w:p>
    <w:p>
      <w:r>
        <w:rPr>
          <w:b/>
        </w:rPr>
        <w:t>E. 3</w:t>
      </w:r>
    </w:p>
    <w:p>
      <w:r>
        <w:t>Schweizerisches Bundesarchiv, Digitale Amtsdruckschriften Archives fédérales suisses, Publications officielles numérisées Archivio federale svizzero, Pubblicazioni ufficiali digitali JAAC 67.13 - Auszug aus einem Entscheid der Eidgenössischen Rekurskommission für Forschungsförderung vom 27. März 2001 In Verwaltungspraxis der Bundesbehörden Dans Jurisprudence des autorités administratives de la Confédération In Giurisprudenza delle autorità amministrative della Confederazione Jahr 2003 Année Anno Band 67 Volume Volume Seite --- Page Pagina Ref. No 150 005 891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