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67.119 vom 17. April 2003</w:t>
      </w:r>
    </w:p>
    <w:p>
      <w:r>
        <w:t>Bundesverwaltung, 2003-04-17, DE</w:t>
      </w:r>
    </w:p>
    <w:p>
      <w:r>
        <w:rPr>
          <w:b/>
        </w:rPr>
        <w:t xml:space="preserve">Quelle: </w:t>
      </w:r>
      <w:r>
        <w:t>https://mcp.opencaselaw.ch/entscheid/ch_vb_JAAC_67.119__</w:t>
      </w:r>
    </w:p>
    <w:p>
      <w:r>
        <w:t>FR: CH_VB JAAC 67.119 du 17 avril 2003</w:t>
      </w:r>
    </w:p>
    <w:p>
      <w:r>
        <w:t>IT: CH_VB JAAC 67.119 del 17 aprile 2003</w:t>
      </w:r>
    </w:p>
    <w:p>
      <w:pPr>
        <w:pStyle w:val="Heading2"/>
      </w:pPr>
      <w:r>
        <w:t>Erwägungen</w:t>
      </w:r>
    </w:p>
    <w:p>
      <w:r>
        <w:rPr>
          <w:b/>
        </w:rPr>
        <w:t>E. 1</w:t>
      </w:r>
    </w:p>
    <w:p>
      <w:r>
        <w:t>Lors de la fixation des droits de douane à l’importation, les conditions-cadres du commerce international (GATT/OMC) doivent être respectées.</w:t>
      </w:r>
    </w:p>
    <w:p>
      <w:r>
        <w:rPr>
          <w:b/>
        </w:rPr>
        <w:t>E. 2</w:t>
      </w:r>
    </w:p>
    <w:p>
      <w:r>
        <w:t>Pour orienter les importations, la Confédération a entre autres à disposition l’instrument des contingents tarifaires. Elle détermine ainsi la quantité de marchandises pouvant être importée en Suisse à un taux bas, le taux du contingent (TC); pour des importations dépassant cette quantité, un droit de douane notablement plus élevé, le taux hors contingent (THC), doit en principe être versé, qui a habituellement un effet prohibitif (consid. 2a).</w:t>
      </w:r>
    </w:p>
    <w:p>
      <w:r>
        <w:rPr>
          <w:b/>
        </w:rPr>
        <w:t>E. 3</w:t>
      </w:r>
    </w:p>
    <w:p>
      <w:r>
        <w:t>Conditions et étendue d’un droit de douane pour les fleurs coupées (consid. 2b).</w:t>
      </w:r>
    </w:p>
    <w:p>
      <w:r>
        <w:rPr>
          <w:b/>
        </w:rPr>
        <w:t>E. 4</w:t>
      </w:r>
    </w:p>
    <w:p>
      <w:r>
        <w:t>Question de la légalité du délai péremptoire de trois jours selon la circulaire de l’OFAG du 4 mai 1999 aux titulaires d’un permis général d’importation laissée ouverte dans le cas d’espèce. Il suffit de préciser en principe que le devoir d’annoncer la production indigène au plus tard jusqu’au moment de la fixation par l’autorité des parts de contingents de l’importateur pour l’année suivante est impératif pour l’exécution du droit applicable. Ultérieurement, l’importateur perd toute prétention à un contingent supplémentaire (consid. 3b).</w:t>
      </w:r>
    </w:p>
    <w:p>
      <w:r>
        <w:rPr>
          <w:b/>
        </w:rPr>
        <w:t>E. 5</w:t>
      </w:r>
    </w:p>
    <w:p>
      <w:r>
        <w:t>En application du principe de l’auto-déclaration, la recourante ne pouvait effectuer des importations aux TC qu’avec la certitude de ne pas dépasser son contingent tarifaire, respectivement de fournir la production indigène donnant droit à un contingent supplémentaire et d’être en mesure de le prouver de manière réglementaire (consid. 3d). 1</w:t>
      </w:r>
    </w:p>
    <w:p>
      <w:r>
        <w:rPr>
          <w:b/>
        </w:rPr>
        <w:t>E. 6</w:t>
      </w:r>
    </w:p>
    <w:p>
      <w:r>
        <w:t>des anwendbaren Rechts unabdingbar ist. Denn sowohl die Zollkontingente für Schnittblumen des Jahres 1999 als auch der Folgejahre werden je nach Massgabe der Einfuhren und der Inlandleistungen im Vorjahr bzw. nach Massgabe der Einfuhren zum KZA (d. h. auch nach Massgabe der aufgrund der Inlandleistungen erlangten Zusatzkontingente) und zum AKZA zugeteilt (E. 2b hievor). Die Meldung der Inlandleistungen bildet aus diesem Grund unerlässliche Informationsgrundlage für die Festsetzung des Zollkontingentsanteils des entsprechenden Folgejahres. Im Übrigen wäre die Beurteilung der Absatzmöglichkeiten von Schnittblumen bzw. des entsprechenden Markbedarfs durch die zuständigen Behörden (E. 2b hievor) wesentlich erschwert, wenn die Kontingentsberechtigten ihre Inlandleistungen nicht innert nützlicher Frist zu melden hätten. Gleicherweise wäre das BLW nicht im Stande zu prüfen, ob der Importeur die Voraussetzungen des Zusatzkontingentes erfüllt; verhindert würde auch eine entsprechende Einfuhrkontrolle oder das Abrechnungswesen durch die Verwaltung. Die Beschwerdeführerin hat vor der Zuteilung des Zollkontingentsanteils des Jahres 2000 keine Inlandleistungen der Kontingentsperiode 1999 gemeldet, nicht einmal nachdem sie durch das BLW mit Schreiben vom 11. Februar 2000 auf ihre Kontingentsüberschreitung 1999 hingewiesen und zur Stellungnahme aufgefordert worden war. Unter den dargelegten Umständen hat die Beschwerdeführerin damit ihren Anspruch auf ein Zusatzkontingent 1999 verwirkt. Jedenfalls erfolgte ihre Meldung der Inlandleistungen vom 25. bis 31. Juli 1999 fast drei Jahre danach (22. Mai 2002) verspätet. c. Die Beschwerdeführerin bringt vor, sie sei über die Meldepflicht nicht informiert gewesen. Sinngemäss macht sie zudem geltend, sie habe das Rundschreiben vom 4. Mai 1999 nicht erhalten, wonach angeordnet wurde, «die Inlandleistungen seien jeweils spätestens bis zu dem der Festsetzung des Verteilschlüssels folgenden dritten Werktag (Mittwoch) einzureichen; später eintreffende Meldungen würden nicht mehr berücksichtigt». Wie bereits dargelegt (E. b hievor) kann die Rechtmässigkeit dieser Verwirkungsfrist offen bleiben, weil die Beschwerdeführerin die Inlandleistungen nicht vor der Zuteilung des Zollkontingentsanteils des Jahres 2000 gemeldet hatte. Insofern ist unmassgeblich, ob sie das Rundschreiben erhalten hat oder nicht. Immerhin sind gewisse Zweifel anzumerken am behaupteten Umstand, dass zufälligerweise gerade die Beschwerdeführerin ein an alle Inhaber von Generaleinfuhrbewilligungen für Schnittblumen gerichtetes Rundschreiben nicht erhalten haben soll. Im Übrigen geht die fragliche Meldepflicht zur Geltendmachung des Anspruches auf Zusatzkontingente nach Massgabe der Inlandleistungen auch etwa aus den Merkblättern des BLW «Einfuhrbestimmungen für Schnittblumen» der Jahre 1998 und 1999 hervor, die den gleichen Adressaten - also auch der Beschwerdeführerin - zugestellt worden sind. Das Merkblatt 1999 (Ziff. 4 und 5) wies ausführlich auf die Rechtslage im Zusammenhang mit Zusatzkontingenten nach Massgabe der Inlandleistung und des durch das BLW festgelegten Verteilschlüssels hin. Dem Merkblatt lag ein «Meldeformular Inlandleistung» bei. Das Merkblatt 1998 wies ausdrücklich darauf hin, dass die für die Ausnützung von Zusatzkontingenten massgebenden Inlandzukäufe dem BLW wöchentlich anhand einer separaten Liste zu melden sind (Ziff. 5). Auch dort lag ein entsprechendes Meldeformular bei. Unter diesen Umständen kann die Beschwerdeführerin nicht in guten Treuen</w:t>
      </w:r>
    </w:p>
    <w:p>
      <w:r>
        <w:rPr>
          <w:b/>
        </w:rPr>
        <w:t>E. 7</w:t>
      </w:r>
    </w:p>
    <w:p>
      <w:r>
        <w:t>behaupten, sie sei über die fragliche Meldepflicht nicht informiert gewesen. Im Übrigen ist der Beschwerdeführerin mittels rechtskräftiger Verfügung vom 13. April 1999 ein Zollkontingentsanteil von 1740 kg zugeteilt worden. Als Kontingentsberechtigte hätte sie bei Überschreitung dieser Menge und bei Zweifeln über die Rechtslage bzw. die entsprechenden Konsequenzen die Obliegenheit getroffen, bei der Verwaltung die erforderlichen Erkundigungen einzuholen (vgl. Entscheid der ZRK vom 27. Juli 2000 [ZRK 2000-007], E. 3b). Demgegenüber hat sie die Aufforderung des BLW zur Stellungnahme zu ihrer Kontingentsüberschreitung unbeantwortet gelassen. Ein solches Verhalten verdient keinen Gutglaubensschutz, worauf sich die Beschwerdeführerin sinngemäss beruft. d. Nicht haltbar ist schliesslich der Vorwurf, die Verwaltung habe die Beschwerdeführerin über eine Kontingentsüberschreitung erst mit der «Verfügung» vom 7. Mai 2002 informiert; so habe sie in der Folge sofort (22. Mai 2002) die Inlandleistungen 1999 gemeldet. Die Behauptung der Beschwerdeführerin ist aktenwidrig. Bereits mit Schreiben vom 11. Februar 2000 machte sie das BLW auf die Überschreitung des Zollkontingentes 1999 aufmerksam, nota bene noch bevor die Kontingentszuteilung für das Jahr 2000 erfolgte. Im Übrigen ist der Beschwerdeführerin ohnehin entgegenzuhalten, dass das Zollverfahren vom Selbstdeklarationsprinzip bestimmt ist (Art. 24 ZG) und ihr die Verantwortlichkeit für die rechtmässige Deklaration ihrer Importe und für die Einhaltung der Kontingentsvorschriften obliegt (Entscheid der ZRK vom 7. Oktober 2002 [ZRK 2002-048], E. 4b bb). Die Beschwerdeführerin ist demnach allein verantwortlich für die Verwaltung ihres Kontingents. Sie darf nur soweit Einfuhren zum KZA vornehmen, als sie die Gewissheit hat, ihr Zollkontingent nicht zu überschreiten bzw. die zu einem Zusatzkontingent berechtigenden Inlandleistungen erbringen und vorschriftsgemäss nachweisen zu können (vgl. Entscheid der ZRK vom 27. September 2002 [ZRK 2002-013], E. 3). Diese Obliegenheit der Beschwerdeführerin wurde erheblich erleichtert, indem ihr das BLW in der fraglichen Zeit praxisgemäss monatlich eine aktualisierte «Einfuhrkontrolle für Schnittblumen» zustellte. 4. Aufgrund dieser Erwägungen ist die Beschwerde als unbegründet abzuweisen. (…)</w:t>
      </w:r>
    </w:p>
    <w:p>
      <w:r>
        <w:rPr>
          <w:b/>
        </w:rPr>
        <w:t>E. 8</w:t>
      </w:r>
    </w:p>
    <w:p>
      <w:r>
        <w:t>Schweizerisches Bundesarchiv, Digitale Amtsdruckschriften Archives fédérales suisses, Publications officielles numérisées Archivio federale svizzero, Pubblicazioni ufficiali digitali JAAC 67.119 - Entscheid der Eidgenössischen Zollrekurskommission vom 17. April 2003 in Sachen M. [ZRK 2002-112] In Verwaltungspraxis der Bundesbehörden Dans Jurisprudence des autorités administratives de la Confédération In Giurisprudenza delle autorità amministrative della Confederazione Jahr 2003 Année Anno Band 67 Volume Volume Seite --- Page Pagina Ref. No 150 005 822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