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67.104 vom 10. Januar 2003</w:t>
      </w:r>
    </w:p>
    <w:p>
      <w:r>
        <w:t>Bundesverwaltung, 2003-01-10, DE</w:t>
      </w:r>
    </w:p>
    <w:p>
      <w:r>
        <w:rPr>
          <w:b/>
        </w:rPr>
        <w:t xml:space="preserve">Quelle: </w:t>
      </w:r>
      <w:r>
        <w:t>https://mcp.opencaselaw.ch/entscheid/ch_vb_JAAC_67.104__</w:t>
      </w:r>
    </w:p>
    <w:p>
      <w:r>
        <w:t>FR: CH_VB JAAC 67.104 du 10 janvier 2003</w:t>
      </w:r>
    </w:p>
    <w:p>
      <w:r>
        <w:t>IT: CH_VB JAAC 67.104 del 10 gennaio 2003</w:t>
      </w:r>
    </w:p>
    <w:p>
      <w:pPr>
        <w:pStyle w:val="Heading2"/>
      </w:pPr>
      <w:r>
        <w:t>Erwägungen</w:t>
      </w:r>
    </w:p>
    <w:p>
      <w:r>
        <w:rPr>
          <w:b/>
        </w:rPr>
        <w:t>E. 1</w:t>
      </w:r>
    </w:p>
    <w:p>
      <w:r>
        <w:t>Selon la pratique constante, l’existence d’une communauté conjugale effective et stable doit être niée lorsque le conjoint étranger s’adonne à la prostitution de manière systématique. Cette présomption de fait conduit à un renversement du fardeau de la preuve (consid. 15 et 16).</w:t>
      </w:r>
    </w:p>
    <w:p>
      <w:r>
        <w:rPr>
          <w:b/>
        </w:rPr>
        <w:t>E. 2</w:t>
      </w:r>
    </w:p>
    <w:p>
      <w:r>
        <w:t>Le allegazioni addotte in sede di ricorso non sono atte a rendere plausibile un’unione coniugale effettivamente vissuta ai sensi dell’art. 27 LCit (consid. 17-19). Die aus der Moldau stammende X (im Folgenden: Beschwerdeführerin) heiratete am 22. März 1996 den Schweizer Bürger Y, worauf ihr die kantonale Fremdenpolizeibehörde eine ordentliche Aufenthaltsbewilligung erteilte. Die Beschwerdeführerin besitzt seit dem 21. März 2001 eine Niederlassungsbewilligung. Am 14. August 2000 ersuchte die Beschwerdeführerin das Bundesamt für Ausländerfragen (BFA; ab dem 1. Mai 2003: Bundesamt für Zuwanderung, Integration und Auswanderung, IMES, im Folgenden: Bundesamt) um ihre erleichterte Einbürgerung gemäss Art. 27 des Bundesgesetzes vom 29. September 1952 über Erwerb und Verlust des Schweizer Bürgerrechts (BüG, SR 141.0). Das Bundesamt holte am 20. Dezember 2000 beim zuständigen kantonalen Bürgerrechtsdienst einen kurzen Erhebungsbericht ein. Mit Schreiben vom</w:t>
      </w:r>
    </w:p>
    <w:p>
      <w:r>
        <w:rPr>
          <w:b/>
        </w:rPr>
        <w:t>E. 5</w:t>
      </w:r>
    </w:p>
    <w:p>
      <w:r>
        <w:t>war. Sofern diese Vorbringen dem Zwecke dienen, eine finanzielle Notlage für die Prostitution zu belegen, vermögen sie nicht zu überzeugen. Das Departement geht davon aus, dass es der Beschwerdeführerin bei gegebenem Willen durchaus möglich gewesen wäre, eine Vollzeitanstellung in einem anderen Berufssegment zu finden. Für die Beurteilung der Frage, ob die Ehe der Beschwerdeführerin den Anforderungen von Art. 27 BüG genügt oder nicht, spielt es letztlich keine Rolle, ob sie erst nach einem vierjährigen Unterbruch wieder ins Rotlichtmilieu eingestiegen ist oder ob sie durchgehend als Prostituierte tätig war. Massgeblich sind allein die Verhältnisse im Zeitpunkt der Gesuchseinreichung sowie in jenem des Entscheids, weshalb sich weitere Spekulationen erübrigen. Unbestritten bleibt jedoch die Tatsache, dass der aus der Prostitution erzielte Erwerb auch der Finanzierung des Geschäfts des Ehemannes dient und daher die Annahme einer entsprechenden Abrede unter den Ehegatten stützt. Als realitätsfremd ist die Behauptung des Ehemannes zu bezeichnen, die Ehegatten hätten neuerdings mehr Zeit füreinander und die Ehefrau helfe ihm erst noch im eigenen Geschäft in D aus. Abgesehen davon, dass auch dieses Vorbringen nicht näher belegt wurde, geht aus der Vereinbarung der Beschwerdeführerin mit der Eigentümerin und Betreiberin des Z-Saunabetriebs vom 28. Januar 2000 hervor, dass sie dort zwar die vorhandene Infrastruktur nutzen darf, indessen vertraglich gehalten ist, 40% ihrer Tageseinnahmen abzugeben. Gemäss der gleichentags unterzeichneten Bestätigung kommt die Beschwerdeführerin zudem selber für alle Sozialleistungen wie Alters- und Hinterlassenenversicherung (AHV), usw. auf. Im Übrigen sind die Angaben der Beschwerdeführerin zu ihrem Beschäftigungsgrad und zum erzielten Gehalt mit einer gewissen Vorsicht zu geniessen. So ergibt sich aus der Verfallsanzeige (Ausweis B) für das Jahr 2000, dass die Beschwerdeführerin einer Teilzeitbeschäftigung im Umfang von zirka 30 Wochenstunden nachgeht und einen monatlichen Verdienst von zirka Fr. 3’000.- erzielt, wogegen in der Verfallsanzeige (Ausweis B) für das Jahr 2001 von einem Vollerwerb bei einem Beschäftigungsgrad von 15 bis 20 Wochenstunden und einem monatlichen Einkommen von Fr. 1’500.- die Rede ist. Unter diesen Umständen und angesichts der harten Konkurrenz auf dem Prostitutionsmarkt ist es höchst unwahrscheinlich, dass die Beschwerdeführerin, wie auf Replikebene vorgebracht, das von ihr im Erhebungsbericht genannte Einkommen von Fr. 3’500.- angeblich in vier bis sechs Tagen verdient. Derartige Vorbringen und Behauptungen sprechen nicht für die Lauterkeit der Betroffenen. Auf die langen Arbeitswege hat im Übrigen bereits die Vorinstanz hingewiesen. 19. Die Beschwerdeführerin hat sodann diverse Fotos eingereicht. Diese scheinen zwar zu belegen, dass das Paar bereits im Jahre 1999 Ferien im Ausland und am Meer verbrachte, was wiederum in einem gewissen Widerspruch zu der Aussage des Ehemannes in seiner Stellungnahme vom 27. November 2001 steht, wonach sich die Ehegatten nun, da die Beschwerdeführerin der Prostitution nachgehe, auch Ferien im Ausland leisten könnten. Wiewohl diese Fotokopien gemeinsame Aktivitäten illustrieren, könnten sie durchaus fingiert oder manipuliert sein, weshalb ihnen letztlich in dieser Form keine besondere Beweiskraft zukommt. Abgesehen von einem einzigen Familienfoto vom September 1996 befinden sich darunter keine Abbildungen von weiteren Familienanlässen oder</w:t>
      </w:r>
    </w:p>
    <w:p>
      <w:r>
        <w:rPr>
          <w:b/>
        </w:rPr>
        <w:t>E. 6</w:t>
      </w:r>
    </w:p>
    <w:p>
      <w:r>
        <w:t>-zusammenkünften, auch nicht solche von Weihnachts-, Neujahrs- oder Geburtstagsfeierlichkeiten. In diesem Kontext bleibt zu ergänzen, dass die Beschwerdeführerin im Erhebungsbericht vorbrachte, in der Freizeit ginge sie mit ihrem Ehemann öfters in den Nachbarstaat H ins Kino oder chinesisch essen. Da die Beschwerdeführerin ja nicht nur für die Besuchsaufenthalte bei ihren im Ausland lebenden Eltern, sondern ebenfalls für die angeblichen Exkursionen in den Nachbarstaat H ein Touristenvisum benötigt, erweist sich dieses Vorbringen als realitätsfremd. Die Städte OP oder RS wären nahe liegender. Wiewohl die eingereichten Referenzschreiben durchwegs positiv ausfallen, kommt ihnen angesichts ihres letztlich unverbindlichen Charakters keine besondere Beweiskraft zu. Auffallend ist immerhin, dass - mit Ausnahme der Schwiegereltern - kein einziges Schreiben von am gemeinsamen Wohnort C lebenden Personen stammt. Nachdem die Schwiegereltern angeblich nichts über das Doppelleben der Beschwerdeführerin wissen, erweist sich ihre Empfehlung als unbehelflich. Es ist sodann augenfällig, dass das Verschweigen der Tätigkeit der Beschwerdeführerin im engeren Familienkreis ihres Ehemannes und demnach auch am gemeinsamen Wohnort geeignet ist, eine Belastung für die eheliche Beziehung darzustellen. Vor allem unterstützt dieser Umstand die bereits durch die Tätigkeit als Prostituierte vorgegebene gesellschaftliche Isolierung oder Ausgrenzung der Beschwerdeführerin. Zusammenfassend gelangt das Departement zum Schluss, dass die vorgebrachten Einwände und Erklärungen nicht geeignet sind, um eine tatsächlich gelebte eheliche Gemeinschaft im Sinne von Art. 27 BüG glaubhaft zu machen. Die aufgezeigten Widersprüche weisen vielmehr darauf hin, dass eine Zweckehe (im Sinne einer Interessengemeinschaft) besteht, welche gegen entsprechende finanzielle Entschädigung bzw. Entlastung des Ehemannes vorab der Sicherung des Aufenthalts diente und hernach den Erwerb des Schweizer Bürgerrechts verfolgte. Unter diesen Umständen hat das Bundesamt dem Einbürgerungsbegehren zu Recht nicht stattgegeben.</w:t>
      </w:r>
    </w:p>
    <w:p>
      <w:r>
        <w:rPr>
          <w:b/>
        </w:rPr>
        <w:t>E. 7</w:t>
      </w:r>
    </w:p>
    <w:p>
      <w:r>
        <w:t>Schweizerisches Bundesarchiv, Digitale Amtsdruckschriften Archives fédérales suisses, Publications officielles numérisées Archivio federale svizzero, Pubblicazioni ufficiali digitali JAAC 67.104 - Auszug aus einem Entscheid des Eidgenössischen Justiz- und Polizeidepartements vom 10. Januar 2003 [Rek. E5-0160820] In Verwaltungspraxis der Bundesbehörden Dans Jurisprudence des autorités administratives de la Confédération In Giurisprudenza delle autorità amministrative della Confederazione Jahr 2003 Année Anno Band 67 Volume Volume Seite --- Page Pagina Ref. No 150 005 774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