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67.103 vom 12. Februar 2003</w:t>
      </w:r>
    </w:p>
    <w:p>
      <w:r>
        <w:t>Bundesverwaltung, 2003-02-12, DE</w:t>
      </w:r>
    </w:p>
    <w:p>
      <w:r>
        <w:rPr>
          <w:b/>
        </w:rPr>
        <w:t xml:space="preserve">Quelle: </w:t>
      </w:r>
      <w:r>
        <w:t>https://mcp.opencaselaw.ch/entscheid/ch_vb_JAAC_67.103__</w:t>
      </w:r>
    </w:p>
    <w:p>
      <w:r>
        <w:t>FR: CH_VB JAAC 67.103 du 12 février 2003</w:t>
      </w:r>
    </w:p>
    <w:p>
      <w:r>
        <w:t>IT: CH_VB JAAC 67.103 del 12 febbraio 2003</w:t>
      </w:r>
    </w:p>
    <w:p>
      <w:pPr>
        <w:pStyle w:val="Heading2"/>
      </w:pPr>
      <w:r>
        <w:t>Erwägungen</w:t>
      </w:r>
    </w:p>
    <w:p>
      <w:r>
        <w:rPr>
          <w:b/>
        </w:rPr>
        <w:t>E. 1</w:t>
      </w:r>
    </w:p>
    <w:p>
      <w:r>
        <w:t>Notion de communauté conjugale (consid. 20a).</w:t>
      </w:r>
    </w:p>
    <w:p>
      <w:r>
        <w:rPr>
          <w:b/>
        </w:rPr>
        <w:t>E. 2</w:t>
      </w:r>
    </w:p>
    <w:p>
      <w:r>
        <w:t>Selon la pratique constante, il existe une présomption de fait (conduisant à un renversement du fardeau de la preuve), selon laquelle l’existence d’une communauté conjugale effective, intacte et stable doit en principe être niée lorsque le conjoint étranger s’adonne à la prostitution (consid. 20b).</w:t>
      </w:r>
    </w:p>
    <w:p>
      <w:r>
        <w:rPr>
          <w:b/>
        </w:rPr>
        <w:t>E. 3</w:t>
      </w:r>
    </w:p>
    <w:p>
      <w:r>
        <w:t>Notion de prostitution (consid. 20c).</w:t>
      </w:r>
    </w:p>
    <w:p>
      <w:r>
        <w:rPr>
          <w:b/>
        </w:rPr>
        <w:t>E. 4</w:t>
      </w:r>
    </w:p>
    <w:p>
      <w:r>
        <w:t>En outre, le mari de la recourante séjourne depuis plusieurs années en Suisse alémanique et ne rentre qu’occasionnellement chez son épouse le week-end (…). Certes, dans la mesure où Y travaille en qualité de représentant de commerce en Suisse alémanique, la constitution par les époux XY de domiciles séparés peut se justifier. Il n’en demeure pas moins que les autorités helvétiques doivent faire preuve de circonspection en cas d’exercice par l’un des conjoints d’une profession impliquant des absences fréquentes ou prolongées du domicile conjugal, de telles activités pouvant se révéler attractives précisément pour celles et ceux qui, pour des motifs qui leur sont propres, n’envisagent pas de former avec leur conjoint une communauté de vie étroite et durable telle que prévue par les dispositions du Code civil sur le droit du mariage. Or le dossier révèle précisément que, si le mari de la recourante ne rentre qu’entre «une et quatre fois» par mois au domicile conjugal, ceci est dû non seulement à ses activités professionnelles mais également au coûts de l’essence et au fait qu’il connaît des difficultés financières (…). Compte tenu des revenus importants réalisés par X dans le cadre de ses activités et du devoir d’assistance lui incombant envers son époux en vertu des règles du droit du mariage, le fait qu’elle ne soit apparemment pas disposée à financer les frais de déplacement de son mari afin que le couple puisse se rencontrer plus souvent ne saurait plaider en faveur de l’existence d’une communauté conjugale intacte et envisagée comme durable. Dans les conditions décrites, il apparaît également révélateur que la recourante n’ait jamais apporté la moindre aide financière à son mari, si ce n’est qu’elle l’a «invité à manger de temps à autre» (…). Enfin, ainsi que l’autorité de première instance le constate dans les considérants de sa décision, il ressort des pièces du dossier que les époux XY ignorent tous deux l’activité exacte exercée par le conjoint, ce que la recourante ne conteste pas (…). Par surabondance, le Département de céans observe que Y s’est installé en Suisse alémanique en 1996, précisément à l’époque à laquelle son épouse a ouvert un salon de massages à S., ce qui ne saurait constituer une pure coïncidence au vu de l’ensemble des circonstances (…). Quant aux propos qu’il a tenus au sujet de la fille de sa conjointe vivant en France (dont son épouse ne lui a révélé l’existence qu’après le mariage et qu’il a toujours refusé non seulement d’adopter mais également de rencontrer), ils démontrent que les époux XY n’ont jamais envisagé leur union comme une véritable communauté de destins (…). (…)</w:t>
      </w:r>
    </w:p>
    <w:p>
      <w:r>
        <w:rPr>
          <w:b/>
        </w:rPr>
        <w:t>E. 5</w:t>
      </w:r>
    </w:p>
    <w:p>
      <w:r>
        <w:t>Schweizerisches Bundesarchiv, Digitale Amtsdruckschriften Archives fédérales suisses, Publications officielles numérisées Archivio federale svizzero, Pubblicazioni ufficiali digitali JAAC 67.103 - Extrait d'une décision du Département fédéral de justice et police du 12 février 2003 [Rec. E5-0221344] In Verwaltungspraxis der Bundesbehörden Dans Jurisprudence des autorités administratives de la Confédération In Giurisprudenza delle autorità amministrative della Confederazione Jahr 2003 Année Anno Band 67 Volume Volume Seite --- Page Pagina Ref. No 150 005 771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