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66.79 vom 27. November 2001</w:t>
      </w:r>
    </w:p>
    <w:p>
      <w:r>
        <w:t>Bundesverwaltung, 2001-11-27, DE</w:t>
      </w:r>
    </w:p>
    <w:p>
      <w:r>
        <w:rPr>
          <w:b/>
        </w:rPr>
        <w:t xml:space="preserve">Quelle: </w:t>
      </w:r>
      <w:r>
        <w:t>https://mcp.opencaselaw.ch/entscheid/ch_vb_JAAC_66.79__</w:t>
      </w:r>
    </w:p>
    <w:p>
      <w:r>
        <w:t>FR: CH_VB JAAC 66.79 du 27 novembre 2001</w:t>
      </w:r>
    </w:p>
    <w:p>
      <w:r>
        <w:t>IT: CH_VB JAAC 66.79 del 27 novembre 2001</w:t>
      </w:r>
    </w:p>
    <w:p>
      <w:pPr>
        <w:pStyle w:val="Heading2"/>
      </w:pPr>
      <w:r>
        <w:t>Erwägungen</w:t>
      </w:r>
    </w:p>
    <w:p>
      <w:r>
        <w:rPr>
          <w:b/>
        </w:rPr>
        <w:t>E. 1</w:t>
      </w:r>
    </w:p>
    <w:p>
      <w:r>
        <w:t>Inefficacité d’une déclaration de retrait de recours, pour vice de la volonté et violation de l’art. 11 al. 3 PA sur les règles de la représentation (convocation devant l’autorité cantonale adressée directement à une partie, à l’insu de son représentant; consid. 2b).</w:t>
      </w:r>
    </w:p>
    <w:p>
      <w:r>
        <w:rPr>
          <w:b/>
        </w:rPr>
        <w:t>E. 2</w:t>
      </w:r>
    </w:p>
    <w:p>
      <w:r>
        <w:t>(…) b.aa. Wie (…) hievor ausgeführt, wurde die Beschwerdeführerin, nachdem der zuständige Instruktionsrichter der ARK mit Zwischenverfügung vom</w:t>
      </w:r>
    </w:p>
    <w:p>
      <w:r>
        <w:rPr>
          <w:b/>
        </w:rPr>
        <w:t>E. 4</w:t>
      </w:r>
    </w:p>
    <w:p>
      <w:r>
        <w:t>durch die vorstehend dargelegten Umstände, unter denen sie zum Rückzug aufgefordert wurde, ein Nachteil entstanden ist, weil zweifelhaft ist, ob die von ihr am 22. Juni 2001 unterzeichnete Rückzugserklärung ihrem tatsächlichen Willen entsprach. Der Rückzug ist daher unbeachtlich. dd. Nach dem Gesagten sind die Voraussetzungen für eine materielle Beurteilung der Beschwerde vom 1. Mai 2001 nach wie vor gegeben. (…) 4.a. Gemäss Art. 32 Abs. 1 in Verbindung mit Art. 18 AsylG ist auf ein Gesuch einzutreten, wenn der Gesuchsteller geltend macht, dass er die Schweiz um Schutz vor Verfolgung ersucht. Ein Asylgesuch ist also nicht nur dann als gegeben zu erachten, wenn ein Bedürfnis nach Schutz erkennbar ist, sondern es muss genügen, dass die gesuchstellende Person den Willen äussert, um Schutz zu ersuchen (S. Werenfels, Der Flüchtlingsbegriff im schweizerischen Asylrecht, Bern u. a. 1987, S. 155 f.). Gesuche von Personen mit offensichtlich unbegründeten Verfolgungsbehauptungen dürfen demnach nicht mit auf Art. 32 Abs. 1 AsylG beruhenden Nichteintretensentscheiden erledigt werden; andernfalls könnte dieser Nichteintretenstatbestand dazu führen, dass aussichtslose Gesuche generell gar nicht zum Verfahren zugelassen würden (vgl. W. Kälin, Grundriss des Asylverfahrens, Basel/Frankfurt a.M. 1990, S. 259 f). Ausserdem ist bei der Prüfung, ob die gesuchstellende Person um Schutz vor Verfolgung im Sinne der genannten Bestimmung nachsucht, von einem weiten Verfolgungsbegriff auszugehen. Nach konstanter Praxis der ARK umfasst dieser nicht nur die in Art. 3 AsylG und Art. 3 EMRK genannten Gründe, sondern auch die Gründe für das Familienasyl gemäss Art. 51 AsylG sowie die Wegweisungshindernisse gemäss Art. 44 Abs. 2 AsylG in Verbindung mit Art. 14a des Bundesgesetzes vom 26. März 1931 über Aufenthalt und Niederlassung der Ausländer (ANAG, SR 142.20); (vgl. EMARK 1993 Nr. 16, S. 102 ff.; VPB 58.32 E. 3b; EMARK 1999 Nr. 17, E. 4a, S. 112 ff.; EMARK 2000 Nr. 27, E. 4, S. 232 ff.). Die von der Vorinstanz der angefochtenen Verfügung zugrunde gelegte Annahme, ein Asylgesuch im Sinne von Art. 18 AsylG liege nur dann vor, wenn eine asylrelevante Verfolgung im Sinne von Art. 3 AsylG oder menschenrechtswidrige Behandlung im Sinne von Art. 3 EMRK geltend gemacht werde, erweist sich nach dem Gesagten als zu eng. b. Zwar hat die Beschwerdeführerin im Rahmen der Anhörungen vom 17. März 2001 und vom 23. April 2001 explizit verneint, in ihrem Heimatstaat Nachteile erlitten zu haben oder solche in Zukunft zu befürchten. Indessen hat sie durch die Äusserung des Wunsches, mit ihrem Ehemann zusammenzuleben, sinngemäss um Einbezug gemäss Art. 51 AsylG in dessen Flüchtlingseigenschaft und damit um Einschluss in den diesem von den schweizerischen Asylbehörden zugesprochenen Schutz ersucht. In ihren Äusserungen ist somit ein Begehren um Schutzgewährung im obenerwähnten Sinne zu erblicken, welches entgegen der Auffassung der Vorinstanz unter den weiten Verfolgungsbegriff fällt. Demzufolge handelt es sich beim Begehren der Beschwerdeführerin um ein Asylgesuch im Sinne von Art. 18 AsylG. c. Zusammenfassend ergibt sich aus dem Gesagten, dass das BFF zu Unrecht auf das Asylgesuch der Beschwerdeführerin vom 6. April 2001 nicht eingetreten ist. Demzufolge ist die Beschwerde gutzuheissen, die angefochtene</w:t>
      </w:r>
    </w:p>
    <w:p>
      <w:r>
        <w:rPr>
          <w:b/>
        </w:rPr>
        <w:t>E. 5</w:t>
      </w:r>
    </w:p>
    <w:p>
      <w:r>
        <w:t>Oktober 1979 (AS 1980 1718; diese Bestimmung entspricht Art. 44 Abs. 1 AsylG) beinhaltet, dass die vorläufige Aufnahme des einen Familienmitglieds in der Regel zur vorläufigen Aufnahme der übrigen Familienmitglieder führt.</w:t>
      </w:r>
    </w:p>
    <w:p>
      <w:r>
        <w:rPr>
          <w:b/>
        </w:rPr>
        <w:t>E. 6</w:t>
      </w:r>
    </w:p>
    <w:p>
      <w:r>
        <w:t>Schweizerisches Bundesarchiv, Digitale Amtsdruckschriften Archives fédérales suisses, Publications officielles numérisées Archivio federale svizzero, Pubblicazioni ufficiali digitali JAAC 66.79 - Auszug aus dem Urteil der Schweizerischen Asylkommission vom 27. November 2001 i.S. N. B.-N., Bundesrepublik Jugoslawien, auch erschienen in Entscheidungen und Mitteilungen der Schweizerischen Asylrekurskommission [EMARK] 2002 Nr. 5 In Verwaltungspraxis der Bundesbehörden Dans Jurisprudence des autorités administratives de la Confédération In Giurisprudenza delle autorità amministrative della Confederazione Jahr 2002 Année Anno Band 66 Volume Volume Seite --- Page Pagina Ref. No 150 005 690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