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66.73 vom 5. Oktober 2001</w:t>
      </w:r>
    </w:p>
    <w:p>
      <w:r>
        <w:t>Bundesverwaltung, 2001-10-05, DE</w:t>
      </w:r>
    </w:p>
    <w:p>
      <w:r>
        <w:rPr>
          <w:b/>
        </w:rPr>
        <w:t xml:space="preserve">Quelle: </w:t>
      </w:r>
      <w:r>
        <w:t>https://mcp.opencaselaw.ch/entscheid/ch_vb_JAAC_66.73__</w:t>
      </w:r>
    </w:p>
    <w:p>
      <w:r>
        <w:t>FR: CH_VB JAAC 66.73 du 5 octobre 2001</w:t>
      </w:r>
    </w:p>
    <w:p>
      <w:r>
        <w:t>IT: CH_VB JAAC 66.73 del 5 ottobre 2001</w:t>
      </w:r>
    </w:p>
    <w:p>
      <w:pPr>
        <w:pStyle w:val="Heading2"/>
      </w:pPr>
      <w:r>
        <w:t>Erwägungen</w:t>
      </w:r>
    </w:p>
    <w:p>
      <w:r>
        <w:rPr>
          <w:b/>
        </w:rPr>
        <w:t>E. 6</w:t>
      </w:r>
    </w:p>
    <w:p>
      <w:r>
        <w:t>als unumstösslich feststehendes Ereignis ansehen durfte, was zu verneinen ist, wenn der künftige Sachverhalt bei objektiver Betrachtung nicht mit Gewissheit feststand (BGE 118 II 299 ff.). Diese Voraussetzung ist im vorliegenden Fall nicht gegeben. In seiner Rechtsprechung hat es der Bundesrat bisher ausdrücklich abgelehnt, für behördlich festgesetzte Tarife eine Mindestdauer oder eine feste Dauer vorzusehen (RKUV 4/1998 S. 322 ff., und 334 E. II.10.1, VPB 64.14 = RKUV 2/1999 S. 169 ff. und 180 E. II.6). Der Beschwerdeführer konnte daher nicht davon ausgehen, der Bundesrat würde nur über die Taxen für das Jahr 1998 entscheiden, zumal der angefochtene Tariffestsetzungsbeschluss des Regierungsrates nicht befristet war. Der Irrtum des Beschwerdeführers kann daher nicht als wesentlich betrachtet werden. 4.2. Der Beschwerdeführer verlangt die Aufhebung der Tarifverträge vom 29. März 1999 auch unter Berufung auf die clausula rebus sic stantibus. Nach Art. 2 Abs. 2 des Schweizerisches Zivilgesetzbuch vom 10. Dezember 1907 (ZGB, SR 210) hat der Richter einen Vertrag dann zu ändern oder aufzuheben, wenn durch nachträgliche, nicht voraussehbare Umstände ein derart offenbares Missverhältnis zwischen Leistung und Gegenleistung eingetreten ist, dass das Beharren einer Partei auf ihrem Anspruch als missbräuchlich erscheint. Ob eine eingetretene Verhältnisänderung voraussehbar ist oder nicht, ist aus dem Gesichtswinkel derjenigen Partei zu beurteilen, die sich auf die Änderung beruft. Voraussehbarkeit ist dann anzunehmen, wenn diese Partei nach dem gewöhnlichen Lauf der Dinge mit der späteren Entwicklung vernünftigerweise rechnen musste (BGE 97 II 398). Die Frage, ob hinsichtlich der fraglichen Tarifverträge ein Missverhältnis zwischen Leistung und Gegenleistung besteht, kann offen gelassen werden, denn auch wenn ein Missverhältnis besteht, ist es mit Sicherheit nicht auf veränderte Umstände zurückzuführen, sondern bestand schon von Anfang an. Verändert hat sich einzig die subjektive Bewertung der Verträge durch den Beschwerdeführer; im Lichte des Bundesratsentscheides vom 14. April 1999 erschienen ihm die vereinbarten Tarife plötzlich zu hoch. Ist aber ein (allfälliges) Missverhältnis nicht auf veränderte Umstände zurückzuführen, so ist die clausula rebus sic stantibus schon aus diesem Grunde nicht anwendbar. Hinzu kommt, dass der KST am 29. März 1999 angesichts der bundesrätlichen Rechtsprechung damit hätte rechnen müssen, dass der Bundesrat nicht nur die Tarife für das Jahr 1998 festlegen würde; ausserdem entspricht es der ständigen Praxis des Bundesrates, dass dieser seinen Entscheid jeweils auf die Zahlen aus dem Rechnungsjahr stützt, die dem angefochtenen Regierungsratsbeschluss zugrunde liegen. Dass die auf dieser Basis errechneten Tarife tiefer liegen können als die vereinbarten, welche auf späteren Rechnungsjahren basieren, versteht sich. Das Gleiche gilt hinsichtlich des vom Beschwerdeführer geltend gemachten Umstands, dass der Bundesrat in seinem Entscheid vom 14. April 1999 für die Periode vor und nach seinem Entscheid unterschiedliche Pauschalen festgelegt hat. Auch dieses Vorgehen</w:t>
      </w:r>
    </w:p>
    <w:p>
      <w:r>
        <w:rPr>
          <w:b/>
        </w:rPr>
        <w:t>E. 7</w:t>
      </w:r>
    </w:p>
    <w:p>
      <w:r>
        <w:t>entspricht der Praxis des Bundesrates, hat er doch bereits 1997 im Zürcher Tarifstreit für gewisse Spitäler eine Anpassungsfrist gewährt (RKUV 6/1997 S. 367 f.). 4.3. Aus dem Gesagten erhellt, dass die Tarifverträge vom 29. April 1999 unter keinem erheblichen Willensmangel leiden und auch keine veränderten Verhältnisse vorliegen, die eine Auflösung der Verträge rechtfertigen könnten. Die vom KST mit dem Kantonsspital und den Regionalspitälern am 29. März 1999 abgeschlossenen Tarifverträge, welche am 30. März vom Regierungsrat genehmigt wurden, sind demnach gültig. 5.1. Angesichts der Gültigkeit der Tarifverträge ist im Folgenden zu prüfen, ob die Versicherer, die den von ihrem Verband abgeschlossenen Tarifverträgen nicht beigetreten sind, der vom Bundesrat geforderten Pflicht, mit der Gegenseite zu verhandeln, nachgekommen sind, und wie es sich vorliegend mit der Kognition des Bundesrates verhält. 5.2. Es ist unbestritten, dass keiner der Versicherer selbst die Initiative zu weiteren Verhandlungen ergriffen hat. Aber auch der KST, der als ihr Vertreter nach dem Vorliegen des Bundesratsentscheides vom 14. April 1999 die ungewöhnliche Rolle übernahm, sich gegen die zwischen ihm und den Spitälern zuvor ausgehandelten Tarifverträge auszusprechen, hat es unterlassen, eigene Vorstellungen über abweichende Tarife darzulegen und zu begründen. Der KST beschränkte sich in seiner Argumentation auf rein juristische Überlegungen, mit welchen er mit Blick auf den Entscheid des Bundesrates vom 14. April 1999 die Ungültigkeit der Tarifverträge zu begründen suchte. Als substantiierte Darlegung von alternativen Vorstellungen kann das Beharren des KST auf seinem rechtlichen Standpunkt allerdings nicht angesehen werden; dazu hätte es einer kritischen materiellen Auseinandersetzung mit den vereinbarten Tarifen bedurft. 5.3. Soweit eine kantonale Vorinstanz als erste Instanz verfügt hat, steht dem Bundesrat grundsätzlich volle Prüfungsbefugnis in Tat- und Rechtsfragen zu; er kann insbesondere die Angemessenheit des angefochtenen Entscheides prüfen (Art. 49 des Bundesgesetzes über das Verwaltungsverfahren vom 20. Dezember 1968 [VwVG], SR 172.021). Wenn sich aber in den Akten kein Hinweis auf einen begründeten und konstruktiven Vorschlag zur Tarifgestaltung von Seiten des Beschwerdeführers findet, verzichtet der Bundesrat gemäss Praxis auf die materielle Überprüfung des zwischen einem Kassenverband und einem Spital vereinbarten Tarifs, dessen Geltung durch den angefochtenen Beschluss auf die Mitglieder des Verbands ausgedehnt worden ist (VPB 64.14 = RKUV 2/1999 S. 169 ff. E. 5.2). Legt der Regierungsrat in seinem Tarifbeschluss einen anderen als den zwischen dem Kassenverband und dem Spital vereinbarten Tarif fest, überprüft der Bundesrat auch in diesem Fall den angefochtenen Tarifbeschluss nicht uneingeschränkt, wenn die Verbandsmitglieder ihrer Verhandlungspflicht nicht nachgekommen sind. Mit Blick auf die zitierte Rechtsprechung verzichtet er auf eine materielle Überprüfung desjenigen Teils des angefochtenen Regierungsratsbeschlusses, der mit der vertraglichen Vereinbarung übereinstimmt, und beschränkt sich auf die Überprüfung der Differenz zwischen dem vereinbarten und dem hoheitlich festgesetzten</w:t>
      </w:r>
    </w:p>
    <w:p>
      <w:r>
        <w:rPr>
          <w:b/>
        </w:rPr>
        <w:t>E. 8</w:t>
      </w:r>
    </w:p>
    <w:p>
      <w:r>
        <w:t>Tarif, wobei die Kantonsregierung nicht nur dann von einem vereinbarten Tarif abweicht, wenn sie einen anderen Frankenbetrag festlegt, sondern beispielsweise auch dann, wenn sie sich bei ihren Berechnungen auf eine andere Datenbasis stützt oder dem Tarif ein anderes Rechnungsmodell zugrunde legt, ohne von der Höhe des vereinbarten Tarifs abzuweichen. Die Differenz zwischen dem hoheitlich festgelegten Tarif und der vertraglichen Vereinbarung überprüft der Bundesrat allerdings grundsätzlich umfassend, also sowohl auf die Gesetzmässigkeit als auch auf die Angemessenheit hin. Hier gilt es jedoch zu berücksichtigen, dass sich der Regierungsrat bei der Festsetzung der angefochtenen Tarife strikt an die Empfehlungen der Preisüberwachung gehalten hat und ihren Anträgen gefolgt ist. Wenn die Preisüberwachung im vorinstanzlichen Verfahren eine Empfehlung abgibt und der Regierungsrat dieser Empfehlung im Tarifbeschluss folgt, so legt sich der Bundesrat bei einer allfälligen Korrektur dieses Entscheides Zurückhaltung auf. Mit der Empfehlung gibt eine Amtsstelle des Bundes, die auf dem Gebiet der KVG-Tarife über besondere Sachkunde verfügt, eine Beurteilung ab. In einem solchen Fall weicht der Bundesrat vom vorinstanzlichen Entscheid aber dann ab, wenn dieser auf einer falschen Auslegung des Bundesrechts beruht oder irrtümliche tatsächliche Feststellungen, Lücken oder Widersprüche enthält. 5.4. Die Abweichungen der am 14. Dezember 1999 hoheitlich festgesetzten Tarife von den am 29. März 1999 vereinbarten sind zumindest betragsmässig relativ klein (Tarife gemäss Tarifverträgen ab 1999: Kantonsspital [KS]: Fr. 380.-; Regionalspitäler [RS]: Fr. 270.-; Tarife gemäss Festsetzung durch den Regierungsrat: 1999: KS: Fr. 391.15 [gegenüber Vertrag + 3%], RS: Fr. 254.55 [- 6%]; ab 2000: KS: Fr. 394.25 [+ 4%], RS: Fr. 256.60 [- 5%]). Dadurch, dass die Kantonsregierung im Vergleich zur Vereinbarung zum einen den Tarif des Kantonsspitals erhöht und zum anderen jenen der Regionalspitäler gesenkt hat, ist die Gesamtbelastung für die Versicherer durch die Tariffestsetzung praktisch dieselbe wie jene aufgrund der vereinbarten Tarife. Berechnet auf der Basis der Pflegetage im Jahre 1998 (KS: 214’130, RS: 250’959), bedeutet die angefochtene Tariffestsetzung sogar eine (leichte) Tarifsenkung gegenüber den vereinbarten Tarifen: 1999 in der Höhe von 1% ([214’130 × Fr. 391.15 + 250’959 × Fr. 254.55] ÷ [214’130 × Fr. 380.- + 250’959 × Fr. 270.-]); 2000 in der Höhe von 0,2% ([214’130 × Fr. 394.25 + 250’959 × Fr. 256.60] ÷ [214’130 × Fr. 380.- + 250’959 × Fr. 270.-]). Den Akten lässt sich nicht im Detail entnehmen, in welchen Punkten die der hoheitlichen Festsetzung durch den Regierungsrat zugrunde liegende Berechnung von derjenigen, worauf sich die vertragliche Vereinbarung stützt, abweicht. Zum einen liegt die Berechnung für die vereinbarten Tarife nicht vor und zum anderen hat es die Vorinstanz unterlassen, die Abweichung konkret zu begründen. Auf eine differenzierte Unterscheidung der den vereinbarten und festgesetzten Tarifen zugrunde liegende Begründungen kann aber hier verzichtet werden, weil die Stellungnahme der Preisüberwachung, worauf sich der Regierungsrat bei seiner Tariffestsetzung abgestützt und womit sich der Beschwerdeführer im Übrigen nicht materiell auseinandergesetzt hat, ohnehin in keinem Punkt auf einer falschen Auslegung des Bundesrechts beruht oder irrtümliche tatsächliche Feststellungen, Lücken oder Widersprüche enthält. Die Berechnungen der</w:t>
      </w:r>
    </w:p>
    <w:p>
      <w:r>
        <w:rPr>
          <w:b/>
        </w:rPr>
        <w:t>E. 9</w:t>
      </w:r>
    </w:p>
    <w:p>
      <w:r>
        <w:t>Preisüberwachung entsprechen der gefestigten Praxis des Bundesrates (RKUV 6/1997 S. 343 ff. und 375 ff.). Folglich besteht für den Bundesrat auch kein Grund, das Abweichen der festgesetzten Tarife von den vereinbarten nicht zu akzeptieren. Da die von der Regierung hoheitlich festgelegten Tarife insgesamt zu keiner höheren Belastung als die vertraglich vereinbarten geführt hätten, ist wegen der dargelegten Zurückhaltung des Bundesrates in der materiellen Überprüfung hier die wirtschaftliche Tragbarkeit der angefochten Tarife nicht rügbar. Im vorliegenden Fall besteht diesbezüglich keine Differenz zwischen den angefochtenen und den vertraglich vereinbarten Tarifen, die eine Überprüfung rechtfertigte. Als nicht überprüfbar erweist sich schliesslich auch der Vorwurf des Beschwerdeführers, die angefochtenen Tarife hätten nicht rückwirkend festgelegt werden dürfen, denn der zeitliche Geltungsbereich der festgesetzten Tarife deckt sich mit jenem der vertraglichen Vereinbarung. 6. Nach dem Gesagten kann die Frage offen gelassen werden, ob das Vorliegen von Zahlen aus einem neueren Rechnungsjahr veränderte Umstände im Sinne der Rechtsprechung des Bundesrates (RKUV 2/1999 S. 181) darstellt und damit Grund für eine Tariffestsetzung sein kann. Diese Frage hätte sich nur dann gestellt, wenn keine Tarifverträge abgeschlossen worden wären.</w:t>
      </w:r>
    </w:p>
    <w:p>
      <w:r>
        <w:rPr>
          <w:b/>
        </w:rPr>
        <w:t>E. 10</w:t>
      </w:r>
    </w:p>
    <w:p>
      <w:r>
        <w:t>Schweizerisches Bundesarchiv, Digitale Amtsdruckschriften Archives fédérales suisses, Publications officielles numérisées Archivio federale svizzero, Pubblicazioni ufficiali digitali JAAC 66.73 - Entscheid des Bundesrates vom 5. Oktober 2001 i.S. Verband Krankenversicherer St. Gallen-Thurgau gegen Regierungsrat des Kantons St. Gallen betreffend Festsetzung der Tarife des Kantonsspitals und der Regionalspitäler, Publikation in Rec... In Verwaltungspraxis der Bundesbehörden Dans Jurisprudence des autorités administratives de la Confédération In Giurisprudenza delle autorità amministrative della Confederazione Jahr 2002 Année Anno Band 66 Volume Volume Seite --- Page Pagina Ref. No 150 005 672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