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66.44 vom 29. August 2001</w:t>
      </w:r>
    </w:p>
    <w:p>
      <w:r>
        <w:t>Bundesverwaltung, 2001-08-29, DE</w:t>
      </w:r>
    </w:p>
    <w:p>
      <w:r>
        <w:rPr>
          <w:b/>
        </w:rPr>
        <w:t xml:space="preserve">Quelle: </w:t>
      </w:r>
      <w:r>
        <w:t>https://mcp.opencaselaw.ch/entscheid/ch_vb_JAAC_66.44__</w:t>
      </w:r>
    </w:p>
    <w:p>
      <w:r>
        <w:t>FR: CH_VB JAAC 66.44 du 29 août 2001</w:t>
      </w:r>
    </w:p>
    <w:p>
      <w:r>
        <w:t>IT: CH_VB JAAC 66.44 del 29 agosto 2001</w:t>
      </w:r>
    </w:p>
    <w:p>
      <w:pPr>
        <w:pStyle w:val="Heading2"/>
      </w:pPr>
      <w:r>
        <w:t>Erwägungen</w:t>
      </w:r>
    </w:p>
    <w:p>
      <w:r>
        <w:rPr>
          <w:b/>
        </w:rPr>
        <w:t>E. 1</w:t>
      </w:r>
    </w:p>
    <w:p>
      <w:r>
        <w:t>pas non plus une entrave au but poursuivi par l’accord de libre-échange, à savoir la suppression des barrières commerciales préexistantes (consid. 6b). - L’art. III de l’accord du GATT n’a pas de portée plus étendue que celle de l’art. 18 al. 1 de l’accord de libre-échange, si bien que la question de savoir si cette disposition est également directement applicable peut être laissée ouverte (consid. 7a). - Primauté du droit international public (question laissée ouverte, consid. 7b). Automobilsteuer. Freihandelsabkommens Schweiz - EWG (FHA). GATT-Übereinkommen. Unmittelbare Anwendbarkeit. Grundsatz der Inländerbehandlung. Sprungrekurs. - Voraussetzungen einer Sprungbeschwerde (Art. 47 Abs. 2 VwVG; Bestätigung der Rechtsprechung; E. 1a). - Unter «Abgaben mit gleicher Wirkung wie Einfuhrzölle» gemäss Art. 6 Abs. 1 FHA sind ausschliesslich ausländischen Waren wegen ihres Grenzübertritts einseitig auferlegte finanzielle Belastungen zu verstehen, die keinen Zoll im eigentlichen Sinne darstellen. Ist eine Abgabe als interne Steuer ausgestaltet, die grundsätzlich in gleicher Weise importierte wie im Inland erzeugte Waren belastet, so fällt sie von vornherein nicht unter diese Begriffsumschreibung (E. 5a/aa). - Art. 18 Abs. 1 FHA enthält eine klare Verpflichtung zur Nichtdiskriminierung von eingeführten gegenüber inländischen Erzeugnissen durch steuerliche Massnahmen, auf die sich der Bürger berufen kann. Diese Bestimmung ist unmittelbar anwendbar (E. 5a/bb). - Bei der Nicht-Diskriminierungsklausel in Art. 18 Abs. 1 FHA ist der einzige wichtige Punkt derjenige, ob die steuerliche Behandlung der Wareneinfuhr tatsächlich eine protektionistische Wirkung hat und somit die Beseitigung der Handelshemmnisse gefährdet. In casu verneint (E. 5c). - Die Automobilsteuer ist als Verbrauchssteuer Teil des allgemeinen schweizerischen Abgabensystems und dient ausschliesslich der Erzielung von Einnahmen für den allgemeinen Staatshaushalt. Keine Abschottung des nationalen Marktes durch die Erhebung dieser Steuer (der Steuersatz beträgt lediglich 4%). Keine Vereitelung des mit dem FHA verfolgten Ziels, der Beseitigung der früher bestehenden Handelshemmnisse (E. 6b). - Art. III des GATT-Vertrages kommt keine über Art. 18 Abs. 1 FHA hinausgehende Bedeutung zu, so dass auch die Frage, ob diese Bestimmung self-executing ist, offen gelassen werden kann (E. 7a). - Vorrang des Völkerrechts (offen gelassen, E. 7b).</w:t>
      </w:r>
    </w:p>
    <w:p>
      <w:r>
        <w:rPr>
          <w:b/>
        </w:rPr>
        <w:t>E. 2</w:t>
      </w:r>
    </w:p>
    <w:p>
      <w:r>
        <w:t>Imposta sugli autoveicoli. Accordo di libero scambio Svizzera - CEE (ALS). Accordo GATT. Applicazione diretta. Principio del trattamento nazionale. Ricorso omisso medio. - Condizioni per un ricorso omisso medio (art. 47 cpv. 2 PA; conferma della giurisprudenza; consid. 1a). - Per nuove tasse di effetto equivalente ai dazi all’importazione secondo l’art. 6 cpv. 1 ALS si intendono esclusivamente aggravi finanziari imposti unilateralmente su prodotti esteri in seguito all’attraversamento della frontiera e che non costituiscono dazi in senso stretto. Se una tassa è concepita come un’imposta interna che, in linea di principio, grava allo stesso modo sia sui prodotti indigeni sia su quelli importati, essa non rientra in questa definizione (consid. 5a/aa). - L’art. 18 cpv. 1 ALS contiene un chiaro obbligo di non discriminare i prodotti importati rispetto a quelli indigeni attraverso misure fiscali e il cittadino può farvi appello. Questa disposizione è applicabile direttamente (consid. 5a/bb). - Nella clausola di non discriminazione dell’art. 18 cpv. 1 ALS l’unico aspetto importante è di stabilire se il trattamento fiscale dell’importazione di prodotti abbia realmente un effetto protezionistico e metta quindi in pericolo la soppressione degli ostacoli al commercio. Tale effetto è negato nella fattispecie (consid. 5c). - L’imposta sugli autoveicoli è una tassa sul consumo che fa parte del sistema fiscale generale svizzero e che serve esclusivamente ad ottenere introiti per il budget generale dello Stato. Attraverso la riscossione di tale imposta non vi è una protezione del mercato nazionale (l’aliquota fiscale è solamente del 4%). Non vi è nemmeno un impedimento alla realizzazione dello scopo dell’ALS, che mira all’eliminazione delle barriere commerciali preesistenti (consid. 6b). - L’art. III dell’accordo GATT non ha una portata più estesa di quella dell’art. 18 cpv. 1 ALS, per cui può rimanere aperta la questione inerente all’applicabilità diretta di tale disposizione (consid. 7a). - Preminenza del diritto internazionale pubblico (questione lasciata aperta, consid. 7b). A. Herr S. führte einen Gebrauchtwagen Maserati quattro porte AM 107 aus Italien in die Schweiz ein. Das Zollamt Luzern nahm gestützt auf die vom Vertreter des Importeurs vorgelegten Dokumente (Einfuhrdeklaration, «Dichiarazione di Vendita» und Warenverkehrsbescheinigung EUR.1) die Abfertigung vor und erhob eine Gebühr von Fr. (…), die Automobilsteuer von Fr. (…) sowie die Mehrwertsteuer von Fr. (…). B. Mit Schreiben vom 7. Oktober 1999 ersuchte Herr S. die Eidgenössische Oberzolldirektion (OZD), die Erhebung der Automobilsteuer und der Mehrwertsteuer zu überprüfen und stellte den Antrag auf teilweise bzw. vollständige Rückerstattung dieser Abgaben. Zur Begründung dieses Gesuches wurde im Wesentlichen ausgeführt, bei dem vom Gesuchsteller zum Preis von</w:t>
      </w:r>
    </w:p>
    <w:p>
      <w:r>
        <w:rPr>
          <w:b/>
        </w:rPr>
        <w:t>E. 3</w:t>
      </w:r>
    </w:p>
    <w:p>
      <w:r>
        <w:t>Lit. 21’000’000.- (rund Fr. 17’500.-) erworbenen und in der Folge in die Schweiz eingeführten Fahrzeug handle es sich um einen Gebrauchtwagen, welcher erstmals 1968 in Verkehr gesetzt worden sei. Der Veräusserungsvertrag sei zwischen Privatpersonen zustande gekommen, so dass an eine Rückerstattung der italienischen Mehrwertsteuer nicht zu denken sei und auch der Vorsteuerabzug in der Schweiz nicht geltend gemacht werden könne. Das Automobilsteuergesetz vom 21. Juni 1996 (AStG, SR 641.51) sehe vor, dass nicht nur importierte Fahrzeuge mit der Automobilsteuer belastet würden, sondern auch Fahrzeuge aus inländischer Produktion. Auf dem Papier sei damit dem Gleichbehandlungsgrundsatz des GATT-/WTO-Übereinkommens nachgelebt worden. Bereits das Freihandelsabkommen vom 22. Juli 1972 zwischen der Schweiz und der Europäischen Wirtschaftsgemeinschaft (nachfolgend Freihandelsabkommen Schweiz-EWG [FHA], SR 0.632.401) habe vorgesehen, dass die Schweiz nicht nur die Schutzzölle, sondern auch die Fiskalzölle zu beseitigen habe. Nach Art. 4 FHA könnten solche Fiskalzölle in interne Abgaben umgewandelt werden. Durch die Miterfassung der nationalen Automobilindustrie sei diesem Erfordernis Rechnung getragen worden. Weil indessen die Inlandproduktion von Automobilen in der Schweiz bedeutungslos sei, würden mit der Automobilsteuer rein fiskalische Interessen verfolgt, wodurch diese de facto einem Fiskalzoll gleichkomme. Im vorliegenden Falle einer Einfuhr eines seit mehr als 30 Jahren im Verkehr befindlichen Gebrauchtwagens würden dem Erwerber alle Steuern in Italien verhaftet bleiben. Es werde deshalb beantragt, die Automobilsteuer zu erlassen und den bezahlten Betrag zurückzuerstatten. Bei Veräusserungsgeschäften von Gebrauchtwagen zwischen Privaten im Inland werde sodann regelmässig keine Mehrwertsteuer erhoben. Auch gelange gemäss Art. 26 Abs. 7 der Verordnung vom 22. Juni 1994 über die Mehrwertsteuer (MWSTV, AS 1994 1464 und nachfolgende Revisionen) beim Handel mit Gebrauchtwagen nur der effektive Mehrwert zur Versteuerung, wenn der Erwerber den Wagen von einem Nichtsteuerpflichtigen erwerbe und demgemäss den Vorsteuerabzug nicht geltend machen könne. Es sei nicht einzusehen, weshalb dies bei grenzüberschreitenden Gebrauchtwagenverkäufen anders sein sollte, wo ein Rückerstattungsantrag im Herkunftsland nicht möglich sei. C. Die OZD behandelte das Schreiben von Herrn S. vom 7. Oktober 1999 als Gesuch um Erlass der Automobilsteuer und der Mehrwertsteuer und wies dieses mit Verfügung vom 15. November 1999 ab. Zur Begründung ihres Entscheides hielt sie im Wesentlichen fest, die Abgabenerhebung an sich sei unbestritten. Es sei indessen keiner der in Art. 21 AStG genannten Erlassgründe erfüllt. Insbesondere könnten angesichts des in Frage stehenden Betrages keine aussergewöhnlichen Gründe, welche die Bezahlung als besondere Härte erscheinen liessen (Art. 21 Ziff. 1 Bst. b AStG) vorliegen. Diese Voraussetzungen wären nur dann erfüllt, wenn die Nichtgewährung des Erlasses den Betroffenen in seiner Existenz ernsthaft bedrohen würde, indem dieser den notwendigen Lebensunterhalt nicht mehr bestreiten oder die Erwerbstätigkeit nicht mehr fortsetzen könne. Auch ein Erlass der Mehrwertsteuer sei nicht möglich, da keiner der in Art. 76 MWSTV vorgesehenen Erlassgründe gegeben sei. Ein Rückgriff auf das steuerliche</w:t>
      </w:r>
    </w:p>
    <w:p>
      <w:r>
        <w:rPr>
          <w:b/>
        </w:rPr>
        <w:t>E. 4</w:t>
      </w:r>
    </w:p>
    <w:p>
      <w:r>
        <w:t>Ergebnis bei einem vergleichbaren Umsatz im Inland wäre nur zulässig, wenn ein solcher ausdrücklich vorgesehen wäre, was indessen in casu nicht der Fall sei. D. Gegen diese Verfügung erhob Herr S. mit Eingabe vom 30. Dezember 1999 Beschwerde an das - in der Rechtsmittelbelehrung der OZD als zuständige Instanz bezeichnete - Eidgenössische Finanzdepartement (EFD), mit dem Antrag, der angefochtene Entscheid sei aufzuheben und die OZD sei anzuweisen, die bei der Einfuhr erhobene Automobilsteuer im Betrag von Fr. (…) zurückzuerstatten. Zur Begründung dieses Antrages wurde im Wesentlichen festgehalten, die OZD sei in der angefochtenen Verfügung nicht auf die Ausführungen des Beschwerdeführers eingegangen, wonach die Automobilsteuer eine Massnahme gleicher Wirkung (wie ein Einfuhrzoll) im Sinne des Freihandelsabkommens Schweiz-EWG darstelle bzw. die Erhebung derselben bei der Einfuhr gegen die im Rahmen des GATT/WTO-Übereinkommens eingegangenen Verpflichtungen verstosse. Sie habe bloss geprüft, ob im vorliegenden Fall eine Rückerstattung nach Art. 21 AStG in Frage komme. Vorher sei die Steuer im Rahmen der Erhebung der Zölle als Fiskalkomponente auf dem Gewicht erhoben worden. Neu gelte nun eine ad-valorem-Besteuerung, welche sich gegenüber der alten Regelung namentlich für teure und leichte Fahrzeuge bei der Einfuhr nachteilig auswirke. Durch die Umwandlung sei der Charakter der Abgabe nicht tangiert worden, da diese in ihrer Wirkung einem Zoll gleichkomme. Wie der Bundesrat in seiner Botschaft selber festgestellt habe, würden die der Steuer unterliegenden Fahrzeuge fast ausschliesslich aus dem Ausland importiert. Die Schweiz habe keine nennenswerte Produktion. Die schweizerische Industrie stelle keine vergleichbaren Erzeugnisse her und es sei nicht damit zu rechnen, dass sich dies in der Zukunft ändern würde. Damit stelle die - nach dem Inkrafttreten des Freihandelsabkommens Schweiz-EWG eingeführte - Automobilsteuer in ihrer heutigen Form eine Massnahme dar, die geeignet sei, unmittelbar eine diskriminierende Behandlung der Erzeugnisse einer Vertragspartei des Freihandelsabkommens Schweiz-EWG zu bewirken. Auf Grund des Vorrangs des Staatsvertragsrechts gegenüber dem Landesrecht verletze die angefochtene Verfügung daher Bundesrecht. Mit Schreiben vom 26. Januar 2000 an das EFD nahm die OZD betreffend die Frage der Zuständigkeit zur Behandlung der von Herrn S. erhobenen Beschwerde Stellung. Sie hielt fest, dass im vorliegenden Falle - gestützt auf Art. 32 AStG - zuerst ein Einspracheverfahren durchgeführt werden müsste. Ihr Einspracheentscheid könnte dann bei der Eidgenössischen Zollrekurskommission (ZRK) angefochten werden. Wäre die Eingabe vom</w:t>
      </w:r>
    </w:p>
    <w:p>
      <w:r>
        <w:rPr>
          <w:b/>
        </w:rPr>
        <w:t>E. 7</w:t>
      </w:r>
    </w:p>
    <w:p>
      <w:r>
        <w:t>Aus den Erwägungen: 1.a. Die ZRK ist gemäss Art. 34 AStG Beschwerdeinstanz für erstinstanzliche Verfügungen oder Beschwerdeentscheide der OZD. Gemäss Art. 33 Abs. 2 AStG ist die OZD Beschwerdeinstanz für erstinstanzliche Verfügungen oder Beschwerdeentscheide der Zollkreisdirektionen. Von dieser Zuständigkeitsordnung kann indessen ausnahmsweise abgewichen werden, wenn die Voraussetzungen der so genannten Sprungbeschwerde erfüllt sind. Hat eine nicht endgültig entscheidende Beschwerdeinstanz im Einzelfalle eine Weisung erteilt, dass oder wie eine Vorinstanz verfügen soll, so ist die Verfügung unmittelbar an die nächsthöhere Instanz weiterzuziehen, wobei in der Rechtsmittelbelehrung darauf aufmerksam zu machen ist (Art. 47 Abs. 2 VwVG). In diesem Fall darf der Instanzenzug durchbrochen werden (vgl. Alfred Kölz/Isabelle Häner, Verwaltungsverfahren und Verwaltungsrechtspflege des Bundes, 2. Aufl., Zürich 1998, S. 172 f., Rz. 476 ff.; Ulrich Häfelin/Georg Müller, Grundriss des Allgemeinen Verwaltungsrechts, 3. Aufl., Zürich 1998, S. 348, Rz. 1358). Die Sprungbeschwerde dient zur Vermeidung unnötiger Prozessschritte und verhindert einen Verfahrensleerlauf, wenn der Vorinstanz in concreto Weisungen erteilt worden sind. Die nächsthöhere Beschwerdeinstanz kann in diesem Fall auch dann auf Unangemessenheit hin überprüfen, wenn sie es sonst nicht könnte; ihr steht die gleiche Kognition zu wie der übersprungenen Instanz (vgl. Rhinow/Koller/Kiss, Öffentliches Prozessrecht und Justizverwaltungsrecht des Bundes, Basel 1996, S. 185, Rz. 960 und S. 241, Rz. 1260; Peter Saladin, Das Verwaltungsverfahrensrecht des Bundes, Basel 1979, S. 204, Rz. 21.3). Im vorliegenden Falle hat die OZD die Zollkreisdirektion Basel mit Schreiben vom 11. Juli 2000 verpflichtet, einen abweisenden Beschwerdeentscheid zu treffen und ihr auch Anweisungen erteilt, wie sie diesen zu begründen habe. Ferner hat sie sie aufgefordert, im Beschwerdeentscheid die ZRK als Beschwerdeinstanz anzugeben, was denn auch geschehen ist. Die Voraussetzungen der Sprungbeschwerde im Sinne von Art. 47 Abs. 2 VwVG sind mithin erfüllt. Die ZRK ist deshalb zur Behandlung der vorliegenden Beschwerde sachlich und funktionell zuständig. b.- c. (…) 2.a. Mit Bundesbeschluss vom 18. Juni 1993 über besondere Verbrauchssteuern, angenommen in der Volksabstimmung vom 28. November 1993 (vierte Vorlage, AS 1994 267) wurde dem Bund in Art. 41ter Abs. 1 Bst. b und Abs. 4 der Bundesverfassung der Schweizerischen Eidgenossenschaft vom 29. Mai 1874 (aBV, BS 1 3) die Kompetenz eingeräumt, besondere Verbrauchssteuern auf bestimmten Waren, wozu namentlich auch Automobile und deren Bestandteile gehören (Art. 41ter Abs. 4 Bst. c aBV; vgl. jetzt Art. 131 Abs. 1 Bst. d der neuen Bundesverfassung der Schweizerischen Eidgenossenschaft vom 18. April 1999 [BV], SR 101), zu erheben. Zweck dieser Verfassungsänderung war die - in Erfüllung internationaler Verpflichtungen (Freihandelsabkommen Schweiz-EWG; GATT) gebotene - Umwandlung der bisherigen Fiskalzölle auf Automobilen und Automobilteilen in eine besondere Verbrauchssteuer. In Art. 4 Abs. 1 FHA hatte sich die Schweiz verpflichtet, auf Industrieprodukten nicht nur die Schutzzölle, sondern auch die Fiskalzölle, welche vorab der Erzielung öffentlicher Einnahmen und nicht dem Schutz einheimischer Industrien dienen, zu beseitigen,</w:t>
      </w:r>
    </w:p>
    <w:p>
      <w:r>
        <w:rPr>
          <w:b/>
        </w:rPr>
        <w:t>E. 8</w:t>
      </w:r>
    </w:p>
    <w:p>
      <w:r>
        <w:t>wobei ihr die Möglichkeit eingeräumt wurde, die Fiskalzölle in interne Abgaben umzuwandeln, die sowohl eingeführte als auch im Inland erzeugte Waren belasten. Anlässlich der Tokio-Runde des GATT hatte die Schweiz ferner im Jahre 1979 in einem Briefwechsel den USA in Aussicht gestellt, sie werde die Zölle auf Motorfahrzeugen und Teilen davon durch nicht diskriminierende interne Steuern ersetzen. Es sei aber von Anfang an klar gewesen, dass auf die Einnahmen aus den Fiskalzöllen, die mehr als Fr. 3 Mia. ausmachten, nicht einfach verzichtet werden könne. Etwas anderes als die Umwandlung in besondere Verbrauchssteuern sei deshalb nicht in Betracht gekommen (BBl 1992 I 799 und 807, BBl 1995 III 139 und BBl 1995 IV 1691). Mit einem Verbrauchssteuersystem würden die eingeführten und die im Inland hergestellten und gewonnenen Waren steuerlich gleich behandelt. Zölle würden nur auf in das Zollgebiet eingeführten Waren, Verbrauchssteuern dagegen auf allen dem Verbrauch zugeführten Waren erhoben (BBl 1995 IV 1691). b. In der Folge hat der Gesetzgeber das Automobilsteuergesetz erlassen, welches am 1. Januar 1997 in Kraft getreten ist. Detailfragen sind ferner in der Automobilsteuerverordnung vom 20. November 1996 (AStV, SR 641.511) geregelt. In der Botschaft vom 25. Oktober 1995 betreffend das Automobilsteuergesetz wurde festgehalten, ein modernes Verbrauchssteuergesetz müsse sicherstellen, dass eingeführte und inländische Waren sowohl verfahrens- als auch belastungsmässig gleichgestellt seien. Der vorgelegte Gesetzesentwurf berücksichtige dieses Erfordernis (BBl 1995 IV 1695). Der Steuer unterliegt denn auch einerseits die Einfuhr von steuerpflichtigen Automobilen (d. h. von Automobilen für den Personen- oder Warentransport im Sinne von Art. 2 AStG) ins Inland (Art. 22 Abs. 1 AStG) und andererseits die Lieferung und der Eigengebrauch bei der Herstellung von Automobilen im Inland (Art. 25 Abs. 1 AStG). Bemessungsgrundlage ist bei der Einfuhr das vom Importeur entrichtete oder zu entrichtende Entgelt, wenn das Automobil in Erfüllung eines Veräusserungs- oder Kommissionsgeschäfts eingeführt wird bzw. der so genannte Normalwert, d. h. jene Summe, die ein Importeur auf der Stufe, auf der die Einfuhr bewirkt wird, einem selbstständigen Lieferanten im Herkunftsland des Automobils im Zeitpunkt der Entstehung der Steuerforderung unter den Bedingungen des freien Wettbewerbs bezahlen müsste, um das gleiche Automobil zu erhalten (Art. 24 Abs. 1 AStG). Bei der Herstellung im Inland wird die Steuer vom Entgelt berechnet, sofern eine Lieferung in Erfüllung eines Veräusserungs- oder Kommissionsgeschäftes erfolgt bzw. vom Wert, wobei sich dieser nach dem Preis bemisst, der einer unabhängigen dritten Person am Ort und im Zeitpunkt der Entstehung der Steuerforderung in Rechnung gestellt würde (Art. 30 Abs. 1-3 AStG). Die Steuer beträgt 4% (Art. 13 AStG). 3.a. Nach Art. 4 Abs. 1 FHA gelten die Bestimmungen über die schrittweise Beseitigung der Einfuhrzölle auch für die Fiskalzölle. Die Vertragsparteien können indessen einen Fiskalzoll oder den Fiskalanteil eines Zolls durch eine interne Abgabe ersetzen. Der Schweiz wurde in Art. 4 Abs. 3 FHA gestattet, bei den Waren gemäss dem seinerzeitigen Anhang II - und unter Einhaltung von Art. 18 FHA - vorübergehend Zölle beizubehalten, die dem Fiskalanteil der auf diese Waren erhobenen Einfuhrzölle entsprechen. Der Gemischte Ausschuss (Art. 29 FHA) hatte indessen die Anwendungsbedingungen dieser Regelung, insbesondere im Falle einer Änderung der Höhe des Fiskalanteils,</w:t>
      </w:r>
    </w:p>
    <w:p>
      <w:r>
        <w:rPr>
          <w:b/>
        </w:rPr>
        <w:t>E. 9</w:t>
      </w:r>
    </w:p>
    <w:p>
      <w:r>
        <w:t>zu überprüfen sowie die Lage im Hinblick auf die Möglichkeit zu prüfen, diese Zölle vor dem 1. Januar 1980 oder vor jedem anderen Zeitpunkt, zu dessen Wahl er sich unter Berücksichtigung der Umstände veranlasst sehen könnte, in inländische Abgaben umzuwandeln. Nach Art. 6 Abs. 1 FHA dürfen sodann im Warenverkehr zwischen der Gemeinschaft und der Schweiz keine neuen Abgaben mit gleicher Wirkung wie Einfuhrzölle eingeführt werden. Gemäss Art. 18 FHA wenden die Vertragsparteien keine Massnahmen oder Praktiken interner steuerlicher Art an, die unmittelbar oder mittelbar eine diskriminierende Behandlung der Erzeugnisse einer Vertragspartei und gleichartiger Ursprungserzeugnisse der anderen Vertragspartei bewirken. b. Am 15. Dezember 1993 konnte die Uruguay-Runde des GATT zu einem erfolgreichen Abschluss gebracht werden. Auf den Tag genau vier Monate später wurde das Vertragswerk in Marrakesch unterzeichnet. Die Schlussakte der Uruguay-Runde (Final Act Embodying the Results of the Uruguay Round of Multilateral Trade Negotiations) bildet zusammen mit dem - grundsätzlich weiter geltenden - GATT-Vertrag vom 30. Oktober 1947 (Allgemeines Zoll- und Handelsabkommen, SR 0.632.21; für die Schweiz am 1. August 1966 in Kraft getreten) die Grundlage der neuen Welthandelsordnung (Heinz Hauser/Kai-Uwe Schanz, Das neue GATT, Die Welthandelsordnung nach Abschluss der Uruguay-Runde, München 1995, S. 53). Mit Bundesbeschluss vom 16. Dezember 1994 über die Genehmigung der in der Uruguay-Runde abgeschlossenen Abkommen (AS 1995 2113) hat die Bundesversammlung dem am 15. April 1994 in Marrakesch abgeschlossenen Abkommen zur Errichtung der Welthandelsorganisation (WTO) mit den dazugehörenden Anhängen zugestimmt. Kern bereits des ursprünglichen GATT-Vertrages war das Diskriminierungsverbot mit seinen beiden Ausprägungen, der Meistbegünstigung und dem - in Art. III des Vertrages statuierten - so genannten Gebot der Inländerbehandlung, wonach importierte Waren weder direkt noch indirekt mit irgendwie gearteten Steuern oder anderen inneren Abgaben belastet werden dürfen, welche höher sind als diejenigen, die die gleichartigen Erzeugnisse einheimischen Ursprungs direkt oder indirekt belasten und wonach kein Vertragspartner entgegen den Grundsätzen von Art. III Ziff. 1 eine andere Art von Steuern oder sonstigen inneren Abgaben auf den eingeführten oder inländischen Erzeugnissen erheben darf (Art. III Ziff. 2 des Vertrages). Der Grundsatz der Inländerbehandlung gewährleistet die Nichtdiskriminierung ausländischer Waren nach Überschreiten der Zollgrenze, z. B. bei der Belastung mit Verbrauchssteuern (Hauser/Schanz, a.a.O., S. 11 und</w:t>
      </w:r>
    </w:p>
    <w:p>
      <w:r>
        <w:rPr>
          <w:b/>
        </w:rPr>
        <w:t>E. 14</w:t>
      </w:r>
    </w:p>
    <w:p>
      <w:r>
        <w:t>dieser Bestimmung hinaus - die Erhebung der Automobilsteuer auf aus der Europäischen Union eingeführten Automobilen als unzulässig erklärt werden müsste. Es kann offen gelassen werden, ob aus Art. 18 Abs. 1 FHA überhaupt ein Verbot abgeleitet werden könnte, eingeführte Waren, die nicht mit inländischen Waren im Wettbewerb stehen, mit inländischen Abgaben zu belasten. Dies käme auf jeden Fall höchstens in krassen Ausnahmefällen in Frage. Im Falle der hier zur Beurteilung stehenden Automobilsteuer fällt jedenfalls ein derartiges Verbot mit Sicherheit nicht in Betracht. Die Steuer ist als Verbrauchssteuer ganz klar Teil des allgemeinen schweizerischen Abgabensystems und sie dient ausschliesslich der Erzielung von Einnahmen für den allgemeinen Staatshaushalt und nicht protektionistischen Zwecken. Von einer Abschottung des nationalen Marktes durch die Erhebung dieser Steuer kann keine Rede sein. Dies ergibt sich im Übrigen auch daraus, dass der Steuersatz lediglich 4% beträgt. Unter diesen Umständen erscheint es denn auch als völlig ausgeschlossen, dass die Automobilsteuer zu einer Vereitelung des mit dem Freihandelsabkommen EWG-Schweiz verfolgten Ziels, der Beseitigung der früher bestehenden Handelshemmnisse, führen könnte. Davon sind offensichtlich auch die Vertragsparteien ausgegangen, was sich denn auch aus der Regelung gemäss Art. 4 Abs. 3 FHA ergibt (vgl. E. 3a hiervor). Zusammenfassend ist somit festzuhalten, dass die Bestimmungen des Automobilsteuergesetzes (und der entsprechenden Ausführungsbestimmungen) nicht gegen Art. 18 Abs. 1 FHA (und auch gegen keine anderen Bestimmungen dieses Abkommens) verstossen. 7.a. Art. III des GATT-Vertrages kommt offensichtlich keine über Art. 18 Abs. 1 FHA hinausgehende Bedeutung zu, so dass auch die Frage, ob diese Bestimmung überhaupt self-executing ist, d. h. ob sich der einzelne Bürger unmittelbar darauf berufen kann, offen gelassen werden kann (verneinend: Sitzungsbericht und Anträge des Generalanwalts in der Rechtssache 193/85 des Europäischen Gerichtshofs, Slg. 1987, 2093 und 2103, unter Bezugnahme auf die Rechtsprechung des Gerichtshofs; im Urteil selber wurde die Frage nicht beanwortet [Slg. 1987, 2113]). b. Unter diesen Umständen - d. h. mangels eines Verstosses der Erhebung der Automobilsteuer gegen staatsvertragliche Bestimmungen - kann auch die Frage offen gelassen werden, ob im vorliegenden Falle der Grundsatz des Vorrangs des Völkerrechts überhaupt zum Tragen käme. Zwar ist heute die Auffassung vorherrschend, dass das Staatsvertragsrecht auch späteren Bundesgesetzen vorgehe. Völkerrechtliche Verpflichtungen bilden indessen - soweit (wie hier) nicht zwingendes Völkerrecht in Frage steht - keine materiellen Schranken der Verfassungsrevision. Eine verfassungsrechtliche Regelung, die gegen früheres (nicht zwingendes) Staatsvertragsrecht verstösst, kann zwar gegebenenfalls Schadenersatzansprüche und die Verpflichtung, sich durch Kündigung aus der völkerrechtlichen Verpflichtung zu befreien, begründen. An ihrer Gültigkeit vermag dies aber nichts zu ändern (vgl. Müller/Wildhaber, a.a.O., S. 198 ff.). Auf einer solchen verfassungsrechtlichen Regelung beruht indessen auch die Automobilsteuer (vgl. E. 2a hiervor). 8. Die Beschwerde ist somit abzuweisen. (…)</w:t>
      </w:r>
    </w:p>
    <w:p>
      <w:r>
        <w:rPr>
          <w:b/>
        </w:rPr>
        <w:t>E. 15</w:t>
      </w:r>
    </w:p>
    <w:p>
      <w:r>
        <w:t>Schweizerisches Bundesarchiv, Digitale Amtsdruckschriften Archives fédérales suisses, Publications officielles numérisées Archivio federale svizzero, Pubblicazioni ufficiali digitali JAAC 66.44 - Entscheid der Eidgenössischen Zollrekurskommission vom 29. August 2001 i.S. S. [ZRK 2000-020] In Verwaltungspraxis der Bundesbehörden Dans Jurisprudence des autorités administratives de la Confédération In Giurisprudenza delle autorità amministrative della Confederazione Jahr 2002 Année Anno Band 66 Volume Volume Seite --- Page Pagina Ref. No 150 005 576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