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66.26 vom 21. Mai 2001</w:t>
      </w:r>
    </w:p>
    <w:p>
      <w:r>
        <w:t>Bundesverwaltung, 2001-05-21, DE</w:t>
      </w:r>
    </w:p>
    <w:p>
      <w:r>
        <w:rPr>
          <w:b/>
        </w:rPr>
        <w:t xml:space="preserve">Quelle: </w:t>
      </w:r>
      <w:r>
        <w:t>https://mcp.opencaselaw.ch/entscheid/ch_vb_JAAC_66.26__</w:t>
      </w:r>
    </w:p>
    <w:p>
      <w:r>
        <w:t>FR: CH_VB JAAC 66.26 du 21 mai 2001</w:t>
      </w:r>
    </w:p>
    <w:p>
      <w:r>
        <w:t>IT: CH_VB JAAC 66.26 del 21 maggio 2001</w:t>
      </w:r>
    </w:p>
    <w:p>
      <w:pPr>
        <w:pStyle w:val="Heading2"/>
      </w:pPr>
      <w:r>
        <w:t>Erwägungen</w:t>
      </w:r>
    </w:p>
    <w:p>
      <w:r>
        <w:rPr>
          <w:b/>
        </w:rPr>
        <w:t>E. 1</w:t>
      </w:r>
    </w:p>
    <w:p>
      <w:r>
        <w:t>Gemäss Art. 13 Abs. 1 Bst. a des Verwaltungsverfahrensgesetzes vom 20. Dezember 1968 (VwVG, SR 172.021) sind die Parteien verpflichtet, an der Feststellung des Sachverhaltes mitzuwirken in einem Verfahren, das sie durch ihr Begehren einleiten. Die Mitwirkungspflicht gilt naturgemäss gerade für solche Tatsachen, welche eine Partei besser kennt als die Behörden und welche diese ohne ihre Mitwirkung gar nicht oder nicht mit vernünftigem Aufwand erheben könnte (BGE 2.A.117/2000 vom 19.3.2001, BGE 124 II 365, BGE 122 II 394 und dortige Zitate). Die Behörde braucht auf das Begehren nicht einzutreten, wenn die Parteien die notwendige und zumutbare Mitwirkung verweigern (Art. 13 Abs. 2 VwVG).</w:t>
      </w:r>
    </w:p>
    <w:p>
      <w:r>
        <w:rPr>
          <w:b/>
        </w:rPr>
        <w:t>E. 2</w:t>
      </w:r>
    </w:p>
    <w:p>
      <w:r>
        <w:t>dass sie die Schuld von ungefähr Fr. 150’000.- noch nicht beglichen habe. Die Beschwerdeführerin hat gemäss Aktennotiz damals versprochen, den Betreibungsbeamten nochmals zu kontaktieren und schriftlich mitzuteilen, wie die Sachlage zur (damaligen) Zeit stehe. Dieses Versprechen hat die Beschwerdeführerin gegenüber der Vorinstanz nicht eingehalten, auch nach nochmaliger Rückfrage der Vorinstanz nicht.</w:t>
      </w:r>
    </w:p>
    <w:p>
      <w:r>
        <w:rPr>
          <w:b/>
        </w:rPr>
        <w:t>E. 3</w:t>
      </w:r>
    </w:p>
    <w:p>
      <w:r>
        <w:t>In der Beschwerdebegründung behauptete die Beschwerdeführerin, sie habe im September 1999 mit Herrn X/AIOS gesprochen. Es sei auch der Geschäftskonkurs von 1992 zur Sprache gekommen, die Angelegenheit sei beiderseits als erledigt betrachtet worden. Diese Behauptung widerspricht den bereits zitierten Akten, insbesondere der Aktennotiz zur Sicherheitsbefragung vom 5. Juli 2000. Aktenkundig erstmals behauptete die Beschwerdeführerin in ihrer Beschwerdeschrift, sie habe seit 1992 in monatlichen Raten bereits über Fr. 50’000.- zurückbezahlt. Diese Behauptung widerspricht ihren eigenen Aussagen im vorinstanzlichen Verfahren und auch den Feststellungen in der angefochtenen Verfügung, wonach die telefonische Anfrage vom 28. Juli 2000 beim zuständigen Betreibungsamt ergeben habe, dass nach wie vor die gesamte Schuldsumme rückzahlbar sei, und dass die Beschwerdeführerin zur Zeit nicht bemüht sei, die Schuldensumme abzubauen.</w:t>
      </w:r>
    </w:p>
    <w:p>
      <w:r>
        <w:rPr>
          <w:b/>
        </w:rPr>
        <w:t>E. 4</w:t>
      </w:r>
    </w:p>
    <w:p>
      <w:r>
        <w:t>Angesichts dieser Widersprüche war es unumgänglich, von der Beschwerdeführerin eine Stellungnahme und insbesondere Aufschluss und Belege für ihre neue Behauptung einer in monatlichen Raten erfolgten Rückzahlung von über Fr. 50’000.- zu verlangen. Es wäre für die Beschwerdeführerin auch nicht besonders aufwändig oder gar kostspielig gewesen, solche Belege beizubringen. Die Konkursakten hat sie aufgrund von Art. 962 des Bundesgesetzes vom 30. März 1911 betreffend die Ergänzung des Schweizerischen Zivilgesetzbuches (Fünfter Teil: Obligationenrecht [OR], SR 220) sowieso 10 Jahre aufzubewahren. Genügt hätte aber auch die Nennung von Name und Adresse der Gläubiger, so dass diese von der Rekurskommission als Auskunftspersonen (Art. 12 Bst. c VwVG) hätten befragt werden können. Eine genaue Klärung der Höhe der Schulden ist umso unumgänglicher, als die finanzielle Lage der zu prüfenden Person gemäss Art. 20 Abs. 1 des Bundesgesetzes vom 21. März 1997 über Massnahmen zur Wahrung der inneren Sicherheit (BWIS, SR 120) sowie - damit verbunden - der Beizug von Auszügen aus den Betreibungsregistern (Art. 20 Abs. 2 Bst. b BWIS) zwingend zum Prüfungsinhalt einer Personensicherheitsprüfung gehören. Damit steht auch fest, dass der Gesetzgeber in nicht geordneten finanziellen Verhältnissen, sprich Betreibungen und Schulden, ein potenzielles Sicherheitsrisiko sieht. Mit ihrer klaren und mehrfachen Weigerung, dem Ersuchen der Rekurskommission nachzukommen und entscheidrelevante Fakten zu liefern, verletzte die Beschwerdeführerin die ihr zumutbare Mitwirkungspflicht wissentlich und willentlich in eklatanter Weise. Auf die Beschwerde ist daher nicht einzutreten.</w:t>
      </w:r>
    </w:p>
    <w:p>
      <w:r>
        <w:rPr>
          <w:b/>
        </w:rPr>
        <w:t>E. 5</w:t>
      </w:r>
    </w:p>
    <w:p>
      <w:r>
        <w:t>Selbst wenn man auf die Beschwerde eintreten wollte, müsste diese abgewiesen werden. Da die Beschwerdeführerin nicht rechtsgenügend dargelegt hat, dass sie Schulden zurückbezahlt hat, wäre davon auszugehen, dass sie mit Schulden von mindestens Fr. 150’000.- belastet ist. Die übrigen Betreibungen aus den Jahren 1995-1998 zeigen zusätzlich, dass ihre finanzielle 3</w:t>
      </w:r>
    </w:p>
    <w:p>
      <w:r>
        <w:t>Lage offenbar angespannt ist. Wer aber - wie die Beschwerdeführerin - mit Schulden in der genannten Grössenordnung, d. h. wohl in der Höhe von mehr als zwei Jahreseinkommen belastet ist - und auch im Übrigen Mühe hat, seine finanziellen Verpflichtungen zu erfüllen, der bildet, verglichen mit einer Durchschnittsbürgerin oder einem Durchschnittsbürger, ein stark erhöhtes abstraktes Sicherheitsrisiko im Sinne des Bundesgesetzes über Massnahmen zur Wahrung der inneren Sicherheit. Dieses würde selbst dann bestehen, wenn die Beschwerdeführerin tatsächlich Fr. 50’000.- abbezahlt hätte, ihre Schulden also noch ungefähr Fr. 100’000.- betragen würden. Es geht - entgegen der Meinung der Beschwerdeführerin - nicht darum, ob sie tatsächlich bestechlich sei oder nicht, bzw. ob sie persönlich sich für bestechlich hält oder nicht. Allein die durch Fakten erwiesene - nicht ganz von der Hand zu weisende - abstrakte Gefahr muss genügen, sonst verlöre eine Sicherheitsüberprüfung jeden Sinn. Zu beachten ist im vorliegenden Fall zudem, dass die Rekurskommission davon ausgehen muss, dass die Schulden nicht in Form von Konkursverlustscheinen vorliegen. Würden solche vorliegen, so wäre das Risikopotenzial deutlich vermindert, weil die Beschwerdeführerin von ihren Gläubigern erst belangt werden könnte, wenn sie zu neuem Vermögen käme (Art. 265 Abs. 2 des Bundesgesetzes vom 11. April 1889 über Schuldbetreibung und Konkurs [SchKG], SR 281.1). Zudem wäre die Verlustscheinforderung unverzinslich, was von der bestehenden Schuld nicht feststeht, aber massiv schulderhöhend wirken könnte.</w:t>
      </w:r>
    </w:p>
    <w:p>
      <w:r>
        <w:rPr>
          <w:b/>
        </w:rPr>
        <w:t>E. 6</w:t>
      </w:r>
    </w:p>
    <w:p>
      <w:r>
        <w:t>Auch wenn bei Vorhandensein von Schulden eine gewisse Toleranzgrenze zu fordern ist, d. h. nicht jede Verschuldung eine geprüfte Person zum relevanten Sicherheitsrisiko werden lässt, so zeigt ein Vergleich mit einem von der Rekurskommission kürzlich entschiedenen ähnlichen Fall (vgl. VPB 66.24), dass hier - angesichts der im Verhältnis zur finanziellen Leistungsfähigkeit der Beschwerdeführerin mehrfach erwähnten, sehr hohen Schulden - die Grenzen bei Weitem überschritten sind. Im vorliegend zu beurteilenden Fall machte die Beschwerdeführerin keinerlei Angaben zu ihren eigenen Einkommensverhältnissen und zu denjenigen ihres Ehemannes, so dass auch deshalb nicht davon ausgegangen werden kann, sie sei in der Lage, die Schulden innert angemessener Frist abzuzahlen.</w:t>
      </w:r>
    </w:p>
    <w:p>
      <w:r>
        <w:rPr>
          <w:b/>
        </w:rPr>
        <w:t>E. 7</w:t>
      </w:r>
    </w:p>
    <w:p>
      <w:r>
        <w:t>Zusammengefasst ist zufolge Verweigerung der zumutbaren Mitwirkung durch die Beschwerdeführerin auf die Beschwerde nicht einzutreten. Selbst wenn man darauf eintreten würde, wäre sie abzuweisen. 4</w:t>
      </w:r>
    </w:p>
    <w:p>
      <w:r>
        <w:t>Schweizerisches Bundesarchiv, Digitale Amtsdruckschriften Archives fédérales suisses, Publications officielles numérisées Archivio federale svizzero, Pubblicazioni ufficiali digitali JAAC 66.26 - Entscheid der Rekurskommission VBS, II. Abteilung, vom 21. Mai 2001). In Verwaltungspraxis der Bundesbehörden Dans Jurisprudence des autorités administratives de la Confédération In Giurisprudenza delle autorità amministrative della Confederazione Jahr 2002 Année Anno Band 66 Volume Volume Seite --- Page Pagina Ref. No 150 005 516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