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66.22 vom 14. März 2001</w:t>
      </w:r>
    </w:p>
    <w:p>
      <w:r>
        <w:t>Bundesverwaltung, 2001-03-14, DE</w:t>
      </w:r>
    </w:p>
    <w:p>
      <w:r>
        <w:rPr>
          <w:b/>
        </w:rPr>
        <w:t xml:space="preserve">Quelle: </w:t>
      </w:r>
      <w:r>
        <w:t>https://mcp.opencaselaw.ch/entscheid/ch_vb_JAAC_66.22__</w:t>
      </w:r>
    </w:p>
    <w:p>
      <w:r>
        <w:t>FR: CH_VB JAAC 66.22 du 14 mars 2001</w:t>
      </w:r>
    </w:p>
    <w:p>
      <w:r>
        <w:t>IT: CH_VB JAAC 66.22 del 14 marzo 2001</w:t>
      </w:r>
    </w:p>
    <w:p>
      <w:pPr>
        <w:pStyle w:val="Heading2"/>
      </w:pPr>
      <w:r>
        <w:t>Erwägungen</w:t>
      </w:r>
    </w:p>
    <w:p>
      <w:r>
        <w:rPr>
          <w:b/>
        </w:rPr>
        <w:t>E. 31</w:t>
      </w:r>
    </w:p>
    <w:p>
      <w:r>
        <w:t>Dezember 1997 zugesichert werden können (Art. 2 Abs. 2 Kreditfreigabe- und -bewilligungsbeschluss 1997). 3.2.2. Indessen ist hier die staatsrechtliche Besonderheit zu beachten, dass die Bundesversammlung diesen Erlass als einfachen Bundesbeschluss gefasst hat, indem sie darauf verzichtete, ihn als allgemeinverbindlich beziehungsweise referendumspflichtig zu erklären (vgl. Art. 7 Kreditfreigabe- und -bewilligungsbeschluss 1997). Dies ist hier insofern von Bedeutung, als diese Erlassform keine rechtsetzenden Normen enthalten kann, sodass auch 5</w:t>
      </w:r>
    </w:p>
    <w:p>
      <w:r>
        <w:t>dem besagten Art. 2 Abs. 2 des Kreditfreigabe- und -bewilligungsbeschlusses 1997 von Bundesrechts wegen lediglich «programmatischer», nicht aber rechtsetzender Charakter zukommt (vgl. dazu die hier massgebende Umschreibung in Art. 5 Abs. 2 GVG [AS 1962 773 ff.]; Ulrich Häfelin / Walter Haller, Schweizerisches Bundesstaatsrecht, 4. Aufl., Zürich 1998, Rz. 979 ff., insbesondere Rz. 993, S. 329 ff./334; zur [gleich gebliebenen] Rechtslage unter der heute gültigen Bundesverfassung: vgl. Art. 163 ff. BV; sowie dazu: René Rhinow, Die Bundesverfassung 2000, Basel 2000, § 14, S. 178 ff., insbesondere S. 185 f.). In diesem Sinne ist die Rekurskommission EVD implizit stets davon ausgegangen, dass die Bestimmung von Art. 2 Abs. 2 Kreditfreigabe- und -bewilligungsbeschluss 1997 eine primär an die Verwaltung gerichtete Vorschrift darstelle und einer späteren Zusicherung nicht grundsätzlich entgegenstehe, solange der vom Bundesparlament bewilligte Kredit nicht ausgeschöpft worden war. So hat die Rekurskommission EVD in ständiger Praxis auch in Fällen, in denen erst nach dem 31. Dezember 1997 verfügt werden konnte und die Vorinstanz sich im Beschwerdeverfahren ausdrücklich auf Art. 2 Abs. 2 Kreditfreigabe- und -bewilligungsbeschluss 1997 berufen hatte, die Sache an die Verwaltung zurückgewiesen, damit diese abkläre, ob die Voraussetzungen des Investitionszulagenbeschlusses erfüllt seien, und alsdann nach pflichtgemässem Ermessen erneut über die Subventionsgewährung entscheide (unveröffentlichte Entscheide der Rekurskommission EVD vom 29.5.1998 i. S. P. J. [97/LH-006]; vom 26.11.1998 i. S. Einwohnergemeinde M. [98/LH-043] sowie vom 23.11.1998 i. S. Einwohnergemeinde B. [98/LH-082]). 3.2.3. Entsprechend dieser Rechtsprechung ist daher davon auszugehen, dass eine Zusicherung erst nach dem 31. Dezember 1997 keine Rechtsverletzung im Sinne von Art. 30 Abs. 1 SuG darstellt. 3.3. Andere Gründe, welche in rechtlicher Hinsicht der Gewährung einer Investitionszulage an die Beschwerdeführerin entgegengestanden hätten, hat die Vorinstanz nicht geltend gemacht und sind auch nicht ersichtlich. Die ursprüngliche, abweisende Verfügung vom 17. März 1998 wurde denn auch nicht damit begründet, dass das Projekt der Beschwerdeführerin die Voraussetzungen des Investitionszulagenbeschlusses nicht erfülle, sondern einzig mit dem Hinweis auf ungenügende finanzielle Mittel. Wie aus der Abrechnungsverfügung vom 24. Februar 1999 hervorgeht, hat die Vorinstanz das Projekt anlässlich der Abrechnung im Einzelnen überprüft und mehrheitlich als anrechenbar befunden. Schliesslich ist auch unbestritten, dass die gewährte Finanzhilfe zweckentsprechend verwendet worden ist und die ausbezahlte Summe aus dem vom Bundesparlament bewilligten Kredit von rund Fr. 200 Mio. stammt. 6</w:t>
      </w:r>
    </w:p>
    <w:p>
      <w:r>
        <w:t>Unter diesen Umständen ist nicht ersichtlich, dass beziehungsweise inwiefern durch die Gewährung der Investitionszulage von Fr. 43 500.- an die Beschwerdeführerin die einschlägigen Rechtsvorschriften verletzt worden wären. 3.4. Steht fest, dass die hier strittige Subvention nicht in Verletzung der materiellen Vorschriften des Investitionszulagenbeschlusses (und der dazugehörigen Verordnung) ausbezahlt worden ist, so bleibt weiter zu prüfen, ob sie allenfalls auf Grund eines «unrichtigen Sachverhaltes zu Unrecht» gewährt worden ist (vgl. Art. 30 Abs. 1 SuG). 3.4.1. Diesbezüglich macht die Vorinstanz geltend, sie habe sich beim Erlass der Auszahlungsverfügung vom 24. Februar 1999 in der Identität der Adressatin und ihres Projekts geirrt. Dieser Irrtum sei durch die ungenügende Information vor der Projektbesichtigung vom 19. Oktober 1998 sowie durch das Verhalten der Beschwerdeführerin im Zusammenhang mit der Schlussabrechnung vom 15. Dezember 1998 (bzw. 8. Januar 1999) verursacht worden. Weil in der Gemeinde Z bereits ein Wasserversorgungsprojekt gutgeheissen worden sei, habe sie nicht damit rechnen müssen, dass ihr in Z ein anderes als das bewilligte Wasserversorgungsprojekt vorgeführt werde. Im Einladungsschreiben der kantonalen Koordinationsstelle seien die zu besichtigenden Projekte, insbesondere deren Projektnummern, nicht im Einzelnen erwähnt worden. Erst mit Einreichung des Auszahlungsbegehrens der «Gemeinde Wasserversorgung Z» - dem tatsächlichen Projekt Y-1009 - habe sie bemerkt, dass die Auszahlungsverfügung das vorgängig abgelehnte Projekt Y-1002 betroffen habe. Mit Ausnahme des Auszahlungsgesuches vom 15. Dezember 1998 und 8. Januar 1999 (Referenzangabe Projektnummer Y-1009) seien alle andern Dokumente des Auszahlungsgesuches ohne Referenzangabe eingereicht worden. 3.4.2. Der Vorwurf der Vorinstanz, die Beschwerdeführerin habe diesen Irrtum durch die Angabe einer fremden Projektnummer verschuldet, ist nicht nachvollziehbar. Die Beschwerdeführerin hat ihre Identität wie auch ihr Sanierungsprojekt in allen erheblichen Phasen jweils detailliert dokumentiert und insofern vollständig offen gelegt (vgl. provisorische Schlussabrechnung vom 16.11.1998 insbesondere betreffend Wasseraufbereitungsanlagen der Firma K. [«Entkeimungsanlage»] sowie betreffend die Flurnamen der erneuerten Wasserleitungen: «F.»). Zudem ist unbestritten, dass die zuständigen Sachbearbeiter der Vorinstanz das Projekt der Beschwerdeführerin am 19. Oktober 1998 besichtigten. In den Einladungsschreiben vom 1. (bzw. 8.) Oktober 1998 des kantonalen Tiefbauamtes Y war ausdrücklich die Besichtigung unter anderem des Projektes der Wasserversorgungsgenossenschaft X traktandiert worden; eine Kopie dieser Schreiben erhielt auch die Vorinstanz rechtzeitig. Ausserdem bekam sie anlässlich des Projektbesuches bei der Beschwerdeführerin am 19. Oktober 1998 auch die Entkeimungsanlage zu sehen und wurde allgemein von den Projektverantwortlichen mündlich über die Werksanierung informiert. Bei gebührender Aufmerksamkeit und Aktenkenntnis hätte sie daher ohne weiteres erkennen müssen, welches Projekt sie besichtigte, denn im Vergleich zum Projekt der Beschwerdeführerin beinhaltet das mit Verfügung vom 11. November 1997 gutgeheissene Gesuch der «Gemeinde 7</w:t>
      </w:r>
    </w:p>
    <w:p>
      <w:r>
        <w:t>Wasserversorgung Z» lediglich die Erneuerung von Wasserleitungen und die Sanierung der Brunnstuben, nicht aber Arbeiten bezüglich einer Entkeimungsanlage. Bei der «Projektnummer» handelt es sich um eine rein interne Laufnummer der Vorinstanz. Es ist verständlich, dass sie für die Beschwerdeführerin keine selbstständige Bedeutung hatte; insbesondere besteht kein Anlass zur Annahme, dass die Beschwerdeführerin die «Projektnummer» der «Gemeinde Wasserversorgung Z» von sich aus gekannt hätte. Die - nicht bestrittene - Erklärung der Beschwerdeführerin, wonach der zuständige Sachbearbeiter der Vorinstanz sie selbst nach der Eingabe vom 10. Dezember 1998 telefonisch angewiesen habe, genau diese - falsche - Projektnummer auf dem Begleitschreiben zu den weiteren Abrechnungsunterlagen anzuführen, erscheint als glaubhaft. 3.4.3. Lagen der Vorinstanz bis am 24. Februar 1999 unverkennbare - und zutreffende - Informationen über die Identität der Beschwerdeführerin wie auch über deren Projekt vor, kann nicht ernsthaft behauptet werden, der von der Vorinstanz geltend gemachte Irrtum sei von der Beschwerdeführerin verursacht worden. Dass der Irrtum nicht von der Beschwerdeführerin, sondern allein von der Vorinstanz selbst zu vertreten ist, ändert indessen nichts daran, dass sich die Vorinstanz im fraglichen Zeitpunkt effektiv in einem Tatsachenirrtum befunden hat. 3.5. Gemäss Art. 30 Abs. 1 SuG kommt ein Widerruf nur in Betracht, wenn eine Subvention auf Grund eines unrichtigen Sachverhaltes «zu Unrecht» gewährt worden ist. Ein Sachverhaltsirrtum der verfügenden Behörde ist daher nicht in jedem Fall relevant, sondern nur, soweit er entscheiderhebliche Tatsachen betrifft. 3.5.1. Wie bereits einlässlich dargelegt, wurde durch die Subventionsgewährung keine der massgeblichen Rechtsvorschriften verletzt (vgl. E. 3.2). Daher bleibt zu prüfen, ob der in Frage stehende Irrtum der Vorinstanz Tatsachen betraf, die sich in anderer Weise insofern als entscheidrelevant erweisen, als die Subventionsgewährung bei voller Kenntnis des wahren Sachverhalts zwar nicht als rechtswidrig, aber dennoch als nicht gerechtfertigt erscheinen würde. 3.5.2. Bei den Investitionszulagen handelt es sich um Ermessenssubventionen, auf die - im Gegensatz zu den Anspruchssubventionen - kein Rechtsanspruch besteht. Es liegt im Entschliessungsermessen der Bundesbehörde, ob sie im Einzelfall eine Subvention zusprechen will oder nicht (vgl. Art. 2 Abs. 1 Investitionszulagenbeschluss; sowie für viele: unveröffentlichter Beschwerdeentscheid der Rekurskommission EVD vom 26.11.1998 i. S. Einwohnergemeinde M. [98/LH-043 E. 3.1]). Dem Staatssekretariat als Bewilligungsbehörde wird durch das Ermessen ein Spielraum für den Entscheid im Einzelfall eingeräumt. Dies bedeutet aber nicht, dass die Behörde in ihrer Entscheidung völlig frei ist. Sie hat innerhalb ihres Entscheidungsspielraums unter Berücksichtigung der Rechtsgrundsätze der Ermessensausübung, die zweckmässigste Lösung zu treffen (Fritz Gygi, Verwaltungsrecht, Bern 1986, S. 154). Sie ist dabei an die Verfassung gebunden und hat insbesondere das Rechtsgleichheitsgebot und das 8</w:t>
      </w:r>
    </w:p>
    <w:p>
      <w:r>
        <w:t>Verhältnismässigkeitsprinzip zu befolgen. Die öffentlichen Interessen sind zu wahren und Sinn und Zweck der gesetzlichen Ordnung zu beachten, namentlich die das betreffende Gebiet beherrschenden Rechtsgrundsätze (vgl. Ulrich Häfelin / Georg Müller, Grundriss des Allgemeinen Verwaltungsrechts, 3. Aufl., Zürich 1998, Rz. 357 ff.; Thomas Fleiner-Gerster, Grundzüge des allgemeinen und schweizerischen Verwaltungsrechts, Zürich 1980, § 16 Rz. 21 und 41). Der Entscheid darf nicht willkürlich sein. Willkür liegt vor, wenn für den Entscheid keine Gründe angeführt werden und die Entscheidung jeder sachlichen vernünftigen Begründung entbehrt oder wenn keine einigermassen klare Praxis und rechtsgleiche Anwendung sichergestellt wird. Die Verwaltung darf auch nicht schematisch ohne Berücksichtigung der Umstände des Einzelfalles entscheiden (Fleiner-Gerster, a. a. O., § 16 Rz. 50, 58 und 65 mit weiteren Verweisen; Gygi, a. a. O., S. 150; vgl. auch BGE 96 I 550 E. 3). Wenn - wie im vorliegenden Fall im Rahmen des Investitionszulagenbeschlusses - kein Rechtsanspruch auf Finanzhilfe besteht und wegen beschränkter finanzieller Mittel nicht alle Projekte, welche grundsätzlich die gesetzlichen Anforderungen für die Zusprechung einer Investitionszulage erfüllen, berücksichtigt werden können, so sind die sachzuständigen Behörden verpflichtet, Prioritätenordnungen aufzustellen (vgl. Art. 13 Abs. 1 und 2 SuG). Die Behörde hat nach pflichtgemässem Ermessen - neben den gesetzlichen (und damit absolut verbindlichen) Kriterien - weitere, relative Kriterien festzulegen, die es erlauben, die Fülle der an sich subventionierbaren Gesuche nach dem Grad ihrer Subventionswürdigkeit sachgerecht zu ordnen. Durch derartige einheitliche Beurteilungskriterien soll eine rechtsgleiche und willkürfreie Behandlung der Beitragsgesuche gewährleistet werden (unveröffentlichter Beschwerdeentscheid der Rekurskommission EVD vom 28.9.1998 i. S. Einwohnergemeinde L. [98/LH-038 E. 2.2]). 3.5.3. Im vorliegenden Fall hat die Vorinstanz ihre ursprünglich negative Verfügung vom 17. März 1998 einzig mit dem Hinweis auf knappe finanzielle Mittel begründet. Auf Grund welcher Prioritätenordnung sie diese beschränkten Mittel verteilen wollte und in Anwendung welcher Kriterien sie dabei ihren Entscheid getroffen hatte, das Projekt der Beschwerdeführerin nicht zu berücksichtigen, hat sie jedoch weder im damaligen noch im vorliegenden Verfahren dargetan. Insofern ist weiterhin nicht nachvollziehbar, welche entscheidwesentlichen Kriterien durch den von ihr zu vertretenden Irrtum hätten betroffen sein können. Hinzu kommt, dass gemäss den Angaben der Vorinstanz vom bewilligten Kredit des Bundesparlamentes zur Gewährung von Investitionszulagen inzwischen rund Fr. 30 Mio. «ungebraucht» in die Bundeskasse «zurückgeflossen» sind. Die Vorinstanz hat damit nicht rechtsgenüglich dargetan, und es ist für die Beschwerdeinstanz auch sonst nicht ersichtlich, warum die Subventionsgewährung an die Beschwerdeführerin bei Kenntnis der wahren Sachlage nicht gerechtfertigt gewesen wäre. 4. Zusammenfassend ergibt sich, dass die Verfügung vom 24. Februar 1999, mit welcher der Beschwerdeführerin Fr. 43 500.- Finanzhilfe für ihr Wasserversorgungsprojekt gewährt worden waren, weder in Verletzung von Rechtsvorschriften noch auf Grund eines unrichtigen Sachverhaltes 9</w:t>
      </w:r>
    </w:p>
    <w:p>
      <w:r>
        <w:t>zu Unrecht erlassen wurde. Die Voraussetzungen für einen Widerruf dieser Verfügung und eine Rückforderung der an die Beschwerdeführerin ausbezahlten Investitionszulage sind daher nicht gegeben. (…) (Die Rekurskommission EVD heisst die Beschwerde gut und hebt die Rückforderungsverfügung des Staatssekretariates vom 6. Mai 1999 auf) 10</w:t>
      </w:r>
    </w:p>
    <w:p>
      <w:r>
        <w:t>Schweizerisches Bundesarchiv, Digitale Amtsdruckschriften Archives fédérales suisses, Publications officielles numérisées Archivio federale svizzero, Pubblicazioni ufficiali digitali JAAC 66.22 - Auszug aus dem Beschwerdeentscheid der Rekurskommission EVD vom 14. März 2001 in Sachen Wasserversorgungsgenossenschaft X gegen Staatssekretariat für Wirtschaft; 99/MD-001 In Verwaltungspraxis der Bundesbehörden Dans Jurisprudence des autorités administratives de la Confédération In Giurisprudenza delle autorità amministrative della Confederazione Jahr 2002 Année Anno Band 66 Volume Volume Seite --- Page Pagina Ref. No 150 005 504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