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66.128 vom 10. April 2000</w:t>
      </w:r>
    </w:p>
    <w:p>
      <w:r>
        <w:t>Bundesverwaltung, 2000-04-10, DE</w:t>
      </w:r>
    </w:p>
    <w:p>
      <w:r>
        <w:rPr>
          <w:b/>
        </w:rPr>
        <w:t xml:space="preserve">Quelle: </w:t>
      </w:r>
      <w:r>
        <w:t>https://mcp.opencaselaw.ch/entscheid/ch_vb_JAAC_66.128__</w:t>
      </w:r>
    </w:p>
    <w:p>
      <w:r>
        <w:t>FR: CH_VB JAAC 66.128 du 10 avril 2000</w:t>
      </w:r>
    </w:p>
    <w:p>
      <w:r>
        <w:t>IT: CH_VB JAAC 66.128 del 10 aprile 2000</w:t>
      </w:r>
    </w:p>
    <w:p>
      <w:pPr>
        <w:pStyle w:val="Heading2"/>
      </w:pPr>
      <w:r>
        <w:t>Erwägungen</w:t>
      </w:r>
    </w:p>
    <w:p>
      <w:r>
        <w:rPr>
          <w:b/>
        </w:rPr>
        <w:t>E. 1</w:t>
      </w:r>
    </w:p>
    <w:p>
      <w:r>
        <w:t>Im Gegensatz zu den Bereichen Strafrecht und Zivilrecht, in welchen die Schweiz mit anderen Nationen diverse Übereinkommen bezüglich der Zustellung gerichtlicher Akten geschlossen hat, bestehen im Bereich des Verwaltungsrechtes keine entsprechenden Abkommen. Weder das Europäische Übereinkommen vom 24. November 1977 über die Zustellung im Ausland von Urkunden in Verwaltungssachen noch das Europäische Übereinkommen vom 15. März 1978 über die Erhebung von Beweisen und Informationen im Ausland in Verwaltungssachen, welchen vorliegendenfalls wesentliche Bedeutung zukäme, sind von der Schweiz bisher ratifiziert worden. Zu der Frage, ob die direkte Zustellung von den betroffenen Staaten trotz fehlendem Übereinkommen geduldet wird, ist auf die schweizerische Ansicht und Praxis hinzuweisen: Gemäss dem völkerrechtlichen Grundsatz der Gebietsausschliesslichkeit ist den Staaten jede Setzung eines Hoheitsaktes auf fremdem Staatsgebiet untersagt. Die Zustellung gerichtlicher Akten stellt einen hoheitlichen Akt dar. Die schweizerische Praxis geht folglich in Übereinstimmung mit obengenanntem völkerrechtlichem Grundsatz davon aus, dass die direkte Zustellung gerichtlicher Akten (per Post usw.) durch eine ausländische Behörde bzw. Vertretung an schweizerische Staatsangehörige oder an Angehörige von Drittstaaten eine Verletzung unseres Hoheitsgebietes darstellt. Fehlt in diesem Bereich ein Abkommen, muss die Zustellung, damit sie rechtsgültig ist, auf diplomatischem Weg erfolgen. Die schweizerischen Behörden erheben jedoch keine Einwände, wenn diplomatische Vertretungen anderer Länder in Anwendung von Art. 5 Bst. j des Wiener Übereinkommens vom 24. April 1963 über konsularische</w:t>
      </w:r>
    </w:p>
    <w:p>
      <w:r>
        <w:rPr>
          <w:b/>
        </w:rPr>
        <w:t>E. 2</w:t>
      </w:r>
    </w:p>
    <w:p>
      <w:r>
        <w:t>Gemäss Art. 71a VwVG[137] richtet sich das Verfahren vor der Rekurskommission für Wettbewerbsfragen nach den Bestimmungen des Bundesgesetzes über das Verwaltungsverfahren. Vorab ist festzuhalten, dass, während das VwVG das verwaltungsinterne Verfahren regelt, sich das Bundesgesetz über die Organisation der Bundesrechtspflege[138] mit dem verwaltungsexternen gerichtlichen Verfahren befasst. Nach der Bestimmung von Art. 36 Bst. b VwVG kann die Behörde ihre Verfügungen gegenüber einer Partei, die sich im Ausland aufhält und keinen erreichbaren Vertreter hat, durch Veröffentlichung in einem amtlichen Blatt eröffnen, wenn die Zustellung an ihren Aufenthaltsort unmöglich ist. Eine analoge Anwendung des Art. 29 Abs. 4 OG, welcher die im Ausland wohnhaften Parteien verpflichtet, in der Schweiz ein Zustellungsdomizil zu errichten, setzt nach Ansicht der DV/EDA voraus, dass im betreffenden Erlass, in dessen Ergänzung die Bestimmung analog angewendet werden soll, eine entsprechende Regelung fehlt bzw. eine Lücke besteht. Wird vom Wortlaut des VwVG ausgegangen, kann erkannt werden, dass vorliegend zumindest keine echte Lücke besteht, verlangt doch der Gesetzgeber expressis verbis die Zustellung an die sich im Ausland aufhaltende Partei und sieht für den Fall deren Unmöglichkeit die Publikation in einem amtlichen Blatt vor. Die Beurteilung der Frage, ob vorliegend allenfalls von einer unechten Lücke ausgegangen werden kann, liegt nicht in der Zuständigkeit der DV/EDA. Es ist jedoch zu bedenken, dass die «zeitgerechte Ergänzung oder Korrektur» einer gesetzlichen Bestimmung über das Mittel der Lückenfüllung im Rahmen der Rechtsanwendung im Spannungsverhältnis steht zum Prinzip der demokratischen Gesetzgebung. Einen neuen Wertungsentscheid zu treffen, muss Sache des Gesetzgebers bleiben und aus diesem Grund ist eine förmliche Änderung des Gesetzes im demokratischen Verfahren der Lückenfüllung sicherlich vorzuziehen.</w:t>
      </w:r>
    </w:p>
    <w:p>
      <w:r>
        <w:rPr>
          <w:b/>
        </w:rPr>
        <w:t>E. 3</w:t>
      </w:r>
    </w:p>
    <w:p>
      <w:r>
        <w:t>Wie schon unter Ziff. 1 festgehalten, ist bei der Zustellung gerichtlicher Entscheide und Akten im Falle des Fehlens eines entsprechenden Abkommens der diplomatische Weg einzuhalten. Die Bestimmung des Art. 10 Abs. 3 BZP[139] regelt das Vorgehen im so genannten Direktprozess vor Bundesgericht. Es handelt sich dabei um das Verfahren gemäss Art. 41 f. OG, also um ein zivilrechtliches Verfahren. Im Bereich des Zivilrechtes bestehen, wie schon unter Ziff. 1 angedeutet, diverse Abkommen der Schweiz mit anderen Staaten über die Zustellung gerichtlicher Akten. Insbesondere das in diesem Bereich massgebliche Übereinkommen über die Zustellung gerichtlicher und aussergerichtlicher Schriftstücke im Ausland in Zivil- und Handelssachen[140] nennt das Bundesamt für Polizeiwesen des Eidgenössischen Justiz- und Polizeidepartements (EJPD) als die für die Schweiz zuständige zentrale Behörde. Im Bereich des Verwaltungsrechts hat die Zustellung jedoch nicht via die Zentralstellen gemäss dem genannten Haager Abkommen zu erfolgen, sondern, wie erläutert, auf dem diplomatischen Weg. Insofern ist nicht die Vermittlung des EJPD, sondern die Mitwirkung des EDA sowie der schweizerischen Botschaften im Ausland massgeblich.</w:t>
      </w:r>
    </w:p>
    <w:p>
      <w:r>
        <w:rPr>
          <w:b/>
        </w:rPr>
        <w:t>E. 4</w:t>
      </w:r>
    </w:p>
    <w:p>
      <w:r>
        <w:t>Unter diejenigen Staatshandlungen, welche ohne Einwilligung des betroffenen Staates oder ohne anderen völkerrechtlichen Rechtstitel (Abkommen) einen Eingriff in die Gebietshoheit des Territorialstaates darstellen, fällt auch die Zustellung amtlicher Schriftstücke an Empfänger im Ausland. Davon ausgenommen sind blosse Mitteilungen ohne rechtsgestaltende Wirkung[141]. In denjenigen Fällen, in denen eine Zustellung lediglich eine Mitteilung betrifft, welche keinerlei rechtliche Auswirkungen zeitigt, hat somit der Staat, auf dessen Territorium die Zustellung stattfindet, keine Veranlassung, sich einzuschalten. In diesem Sinn kann zwischen Entscheiden und Zwischenverfügungen einerseits und verfahrensleitenden Anordnungen und Mitteilungen andererseits eine Unterscheidung getroffen werden. Es ist jedoch zu beachten, dass auch verfahrensleitende Anordnungen rechtliche Auswirkungen entfalten können (beispielsweise Säumnis bei Nichteinhaltung einer Frist) und somit auf dem ordentlichen Weg zugestellt werden müssen.</w:t>
      </w:r>
    </w:p>
    <w:p>
      <w:r>
        <w:rPr>
          <w:b/>
        </w:rPr>
        <w:t>E. 5</w:t>
      </w:r>
    </w:p>
    <w:p>
      <w:r>
        <w:t>Gemäss Art. 26 VwVG hat die Akteneinsicht einer Partei im Verwaltungsverfahren am Sitz der verfügenden Behörde oder einer durch diese bestimmten kantonalen Behörde zu erfolgen. Diese Bestimmung indiziert folglich, dass vom Recht auf Akteneinsicht in der Schweiz Gebrauch zu machen ist. Diesem an sich klaren Wortlaut der gesetzlichen Bestimmung könnte allenfalls Art. 29 BV[142] entgegenstehen. Es stellt sich die Frage, ob 4</w:t>
      </w:r>
    </w:p>
    <w:p>
      <w:r>
        <w:t>unter dem Aspekt des rechtlichen Gehörs und der Gleichbehandlung im Prozess die verfügende Behörde verpflichtet ist, einer ausländischen Partei Akteneinsicht im Ausland zu gewähren. Nach Ansicht der DV/EDA ist diese Problemstellung aufgrund der Tatsache, dass es sich um ein Recht auf Akteneinsicht handelt, nicht von erheblicher praktischer Relevanz. Für Parteien eines wettbewerbsrechtlichen Verfahrens, welche in der Schweiz eine Niederlassung haben, erscheint es, auch wenn sich der Hauptsitz des Unternehmens im Ausland befindet, durchaus zumutbar, die Akten in der Schweiz einzusehen. Eine ausländische Partei in einem wettbewerbsrechtlichen Verfahren ohne Niederlassung in der Schweiz andererseits wird, falls sie gewillt ist, sich aktiv am Verfahren zu beteiligen, aus eigenem Interesse einen Rechtsvertreter in der Schweiz benennen oder einen ihrer Vertreter in die Schweiz entsenden. Sich dem Verfahren gegenüber indifferent verhaltende ausländische Parteien werden dementsprechend auch keinen Gebrauch von ihrem Recht auf Akteneinsicht machen wollen. Wird jedoch davon ausgegangen, dass Art. 29 BV der verfügenden Behörde gebietet, einer ausländischen Partei Akteneinsicht im Ausland zu gewähren und eine ausländische Partei auf Akteneinsicht im Ausland besteht, so müsste nach Ansicht der DV/EDA die Gewährung der Akteneinsicht am Sitz der schweizerischen Vertretung im Ausland erfolgen. Auch eine Übermittlung von Aktenkopien an die Partei im Ausland ist denkbar, soweit diese Möglichkeit nicht durch Geheimhaltungsinteressen ausgeschlossen wird. In jedem Fall ist zu bedenken, dass die Gewährung von Akteneinsicht ebenfalls hoheitliches Handeln darstellt, welches der Zustimmung des betroffenen Landes bedarf. Es ist also auch diesbezüglich um diplomatische Vermittlung zu ersuchen.</w:t>
      </w:r>
    </w:p>
    <w:p>
      <w:r>
        <w:rPr>
          <w:b/>
        </w:rPr>
        <w:t>E. 6</w:t>
      </w:r>
    </w:p>
    <w:p>
      <w:r>
        <w:t>Schweizerisches Bundesarchiv, Digitale Amtsdruckschriften Archives fédérales suisses, Publications officielles numérisées Archivio federale svizzero, Pubblicazioni ufficiali digitali JAAC 66.128 - Gutachten der Direktion für Völkerrecht vom 10. April 2000 In Verwaltungspraxis der Bundesbehörden Dans Jurisprudence des autorités administratives de la Confédération In Giurisprudenza delle autorità amministrative della Confederazione Jahr 2002 Année Anno Band 66 Volume Volume Seite --- Page Pagina Ref. No 150 005 465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