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66.124 vom 11. Dezember 2001</w:t>
      </w:r>
    </w:p>
    <w:p>
      <w:r>
        <w:t>Bundesverwaltung, 2001-12-11, DE</w:t>
      </w:r>
    </w:p>
    <w:p>
      <w:r>
        <w:rPr>
          <w:b/>
        </w:rPr>
        <w:t xml:space="preserve">Quelle: </w:t>
      </w:r>
      <w:r>
        <w:t>https://mcp.opencaselaw.ch/entscheid/ch_vb_JAAC_66.124__</w:t>
      </w:r>
    </w:p>
    <w:p>
      <w:r>
        <w:t>FR: CH_VB JAAC 66.124 du 11 décembre 2001</w:t>
      </w:r>
    </w:p>
    <w:p>
      <w:r>
        <w:t>IT: CH_VB JAAC 66.124 del 11 dicembre 2001</w:t>
      </w:r>
    </w:p>
    <w:p>
      <w:pPr>
        <w:pStyle w:val="Heading2"/>
      </w:pPr>
      <w:r>
        <w:t>Erwägungen</w:t>
      </w:r>
    </w:p>
    <w:p>
      <w:r>
        <w:rPr>
          <w:b/>
        </w:rPr>
        <w:t>E. 1</w:t>
      </w:r>
    </w:p>
    <w:p>
      <w:r>
        <w:t>Konventionsverletzung ausdrücklich oder der Sache nach anerkannt und Wiedergutmachung geleistet, gilt ein Beschwerdeführer nicht mehr als Opfer einer Konventionsverletzung. - Dem Beschwerdeführer, der für die erlittene Untersuchungshaft angemessen entschädigt wurde, fehlt die Opfereigenschaft. Procedura penale nel cantone Ginevra. Detenzione preventiva ingiustificata che ha causato un indennizzo. Art. 5 § 1 lett. c e art. 5 § 4, art. 34 CEDU. Diritto ad un controllo giudiziario della detenzione. Nozione di vittima. - La nozione di vittima, come l’esigenza dell’esaurimento delle vie di ricorso nazionali, riflette il carattere sussidiario del ricorso individuale alla Corte. Un ricorrente non è più considerato come vittima se le violazioni invocate davanti alla Corte sono state riconosciute, esplicitamente o sostanzialmente, e poi riparate dalle autorità nazionali. - Il ricorrente, a cui è stato versato un indennizzo sufficiente per la detenzione subita, non può essere considerato come vittima. Les requêtes à l’origine de la présente décision ont été déclarées partiellement irrecevables par la Cour européenne des droits de l’homme (ci-après: la Cour) avec décision du 23 novembre 2000 (JAAC 65.125). Dans cette décision, la Cour avait estimé ne pas être en mesure de se prononcer sur la recevabilité d’un desgriefs soulevés en l’état actuel du dossier et avait jugé nécessaire de porter cette partie de la requête à la connaissance du Gouvernement suisse en application de l’art. 54 § 3 du règlement de la Cour européenne des Droits de l’Homme du 4 novembre 1998 (RS 0.101.2). La Cour a statué sur la recevabilité de ce grief dans la présente décision. EN DROIT Le requérant se plaint de ce que sa détention provisoire, suite à l’arrêt du Tribunal fédéral du 3 avril 1997 ayant annulé l’ordonnance rendue par la chambre d’accusation le 24 janvier 1997 sans toutefois prononcer sa mise en liberté provisoire, était irrégulière. Il invoque l’art. 5 de la Convention de sauvegarde des droits de l’homme et des libertés fondamentales du</w:t>
      </w:r>
    </w:p>
    <w:p>
      <w:r>
        <w:rPr>
          <w:b/>
        </w:rPr>
        <w:t>E. 4</w:t>
      </w:r>
    </w:p>
    <w:p>
      <w:r>
        <w:t>Schweizerisches Bundesarchiv, Digitale Amtsdruckschriften Archives fédérales suisses, Publications officielles numérisées Archivio federale svizzero, Pubblicazioni ufficiali digitali JAAC 66.124 - Déc. finale rendue par la Cour eur. DH le 11 décembre 2001, déclarant irrecevable les restants des req. n° 38014/97 et 40193/98, Sergueï MICHAILOV c / Suisse. Les mêmes requêtes ont été déclarées partiellement irrecevables par la Cour e... In Verwaltungspraxis der Bundesbehörden Dans Jurisprudence des autorités administratives de la Confédération In Giurisprudenza delle autorità amministrative della Confederazione Jahr 2002 Année Anno Band 66 Volume Volume Seite --- Page Pagina Ref. No 150 005 453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