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66.108 vom 15. November 2001</w:t>
      </w:r>
    </w:p>
    <w:p>
      <w:r>
        <w:t>Bundesverwaltung, 2001-11-15, DE</w:t>
      </w:r>
    </w:p>
    <w:p>
      <w:r>
        <w:rPr>
          <w:b/>
        </w:rPr>
        <w:t xml:space="preserve">Quelle: </w:t>
      </w:r>
      <w:r>
        <w:t>https://mcp.opencaselaw.ch/entscheid/ch_vb_JAAC_66.108__</w:t>
      </w:r>
    </w:p>
    <w:p>
      <w:r>
        <w:t>FR: CH_VB JAAC 66.108 du 15 novembre 2001</w:t>
      </w:r>
    </w:p>
    <w:p>
      <w:r>
        <w:t>IT: CH_VB JAAC 66.108 del 15 novembre 2001</w:t>
      </w:r>
    </w:p>
    <w:p>
      <w:pPr>
        <w:pStyle w:val="Heading2"/>
      </w:pPr>
      <w:r>
        <w:t>Erwägungen</w:t>
      </w:r>
    </w:p>
    <w:p>
      <w:r>
        <w:rPr>
          <w:b/>
        </w:rPr>
        <w:t>E. 1</w:t>
      </w:r>
    </w:p>
    <w:p>
      <w:r>
        <w:t>rendre sa décision et il n’a pas établi l’existence d’autres pièces dont l’absence de communication l’aurait empêché de contester la légalité de sa détention. - Le Président du Tribunal cantonal s’est prononcé 7 jours après la requête de mise en liberté, durée justifiée par le fait que le requérant avait omis de signer personnellement sa requête. Art. 13 CEDH. Droit à un recours effectif. Le grief selon lequel, après sa mise en liberté, le requérant n’aurait plus eu la possibilité de se plaindre des conditions de sa détention est irrecevable, étant donné qu’il avait la possibilité d’interjeter une action en réparation. Allgemeine Bedingungen und richterliche Prüfung der Untersuchungshaft. Strafverfahren im Kanton Schwyz. Art. 3 EMRK. Unmenschliche oder erniedrigende Behandlung. Die Haftbedingungen des Beschwerdeführers (zu kleines Bett, zu dünne Decken, Mangel an Licht, Lektüre, ausgewogener Ernährung und spezialisierter medizinischer Behandlung) erreichen nicht die Schwelle zur unmenschlichen oder erniedrigenden Behandlung. Art. 5 Abs. 3 EMRK. Recht einer von Festnahme oder Freiheitsentzug betroffenen Person, unverzüglich einem Richter oder einer anderen gesetzlich zur Wahrnehmung richterlicher Aufgaben ermächtigten Person vorgeführt zu werden. - Die zur Wahrnehmung richterlicher Aufgaben ermächtigte Person im Sinne dieser Bestimmung ist nicht mit dem Richter identisch. Jedoch muss sie der verhafteten Person gleichwertige Garantien bieten. - Obwohl nach der schwyzerischen Gesetzgebung die Staatsanwaltschaft Weisungen herausgeben und eine allgemeine Aufsicht ausüben kann, entscheidet das Verhöramt unabhängig über die Anordnung einer Untersuchungshaft im Einzelfall. Im vorliegenden Fall ist der Beschwerdeführer innerhalb eines Tages dem Untersuchungsrichter vorgeführt worden und es gibt keinerlei Hinweise darauf, dass das Verhöramt hinsichtlich der Untersuchungshaft Weisungen erhalten hätte. Art. 5 Abs. 4 EMRK. Beschwerderecht im Falle einer Haft. Dauer des Verfahrens. - Der Beschwerdeführer hatte im Moment der Eröffnung des Haftbefehls Kenntnis von den gegen ihn erhobenen Vorwürfen. Er hat ausserdem Einsicht in alle Akten gehabt, auf welche das Kantonsgericht seinen Entscheid stützte. Auch hat er nicht die Existenz von weiteren Akten behauptet, deren Nichtmitteilung ihn daran gehindert hätte, die Rechtmässigkeit der Haft zu bestreiten.</w:t>
      </w:r>
    </w:p>
    <w:p>
      <w:r>
        <w:rPr>
          <w:b/>
        </w:rPr>
        <w:t>E. 2</w:t>
      </w:r>
    </w:p>
    <w:p>
      <w:r>
        <w:t>- Der Präsident des Kantonsgerichts hat sieben Tage nach Einreichung des Haftentlassungsgesuchs entschieden. Diese Verfahrensdauer ist gerechtfertigt, weil der Beschwerdeführer es unterlassen hatte, seine Beschwerde persönlich zu unterschreiben. Art. 13 EMRK. Recht auf eine wirksame Beschwerde. Der Beschwerdeführer hätte Schadenersatzklage führen können. Daher ist die Rüge unzulässig, er habe sich nach seiner Freilassung nicht mehr über die Haftbedingungen beschweren können. Condizioni generali e controllo giudiziario della detenzione preventiva. Procedura penale nel Cantone Svitto. Art. 3 CEDU. Trattamenti disumani o degradanti. Le condizioni di detenzione del ricorrente (letto troppo piccolo, coperte non sufficientemente calde, mancanza di luce, di lettura, di alimentazione equilibrata e di trattamento medico specializzato) non raggiungono il minimo di gravità richiesto da questa disposizione. Art. 5 § 3 CEDU. Diritto per una persona arrestata o detenuta di essere rapidamente tradotta davanti a un giudice o a un altro magistrato abilitato dalla legge ad esercitare funzioni giudiziarie. - Il magistrato ai sensi di questa disposizione non è un giudice, ma deve possedere determinate caratteristiche che possono fornire garanzie simili per la persona arrestata. - Emerge dalla legislazione svittese che, anche se il ministero pubblico può emanare direttive ed esercita una sorveglianza generale, l’ufficio dei giudici di istruzione decide in modo indipendente quando deve essere ordinata una detenzione preventiva in un caso concreto. Nella fattispecie, il ricorrente è stato deferito davanti al giudice di istruzione il giorno stesso e non vi è alcun indizio che induca a ritenere che l’ufficio dei giudici di istruzione abbia ricevuto direttive inerenti la detenzione preventiva del ricorrente. Art. 5 § 4 CEDU. Diritto di ricorso contro la detenzione. Durata della procedura. - Il ricorrente ha appreso dei sospetti che gravavano su di lui al momento della consegna del mandato d’arresto. Egli ha inoltre potuto consultare tutti gli atti sui quali si è basata la corte cantonale per la sua decisione. Inoltre, non ha fatto valere l’esistenza di altri atti non comunicati e che gli avrebbero pertanto impedito di contestare la legalità della sua detenzione. - Il Presidente del Tribunale cantonale si è pronunciato 7 giorni dopo la richiesta di rimessa in libertà, durata giustificata dal fatto che il richiedente aveva omesso di firmare personalmente la sua richiesta. Art. 13 CEDU. Diritto ad un ricorso effettivo.</w:t>
      </w:r>
    </w:p>
    <w:p>
      <w:r>
        <w:rPr>
          <w:b/>
        </w:rPr>
        <w:t>E. 3</w:t>
      </w:r>
    </w:p>
    <w:p>
      <w:r>
        <w:t>L’argomento secondo cui il ricorrente, dopo essere stato liberato, non avrebbe più avuto la possibilità di far valere le cattive condizioni della sua detenzione, è irricevibile, poiché egli aveva la facoltà di presentare un’azione di risarcimento dei danni. Cette décision a été rendue en anglais. Le texte peut être: 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w:t>
      </w:r>
    </w:p>
    <w:p>
      <w:r>
        <w:rPr>
          <w:b/>
        </w:rPr>
        <w:t>E. 4</w:t>
      </w:r>
    </w:p>
    <w:p>
      <w:r>
        <w:t>Schweizerisches Bundesarchiv, Digitale Amtsdruckschriften Archives fédérales suisses, Publications officielles numérisées Archivio federale svizzero, Pubblicazioni ufficiali digitali JAAC 66.108 - Déc. de la Cour eur. DH du 15 novembre 2001, déclarant irrecevable la req. n° 36833/97, H.G. c / Suisse In Verwaltungspraxis der Bundesbehörden Dans Jurisprudence des autorités administratives de la Confédération In Giurisprudenza delle autorità amministrative della Confederazione Jahr 2002 Année Anno Band 66 Volume Volume Seite --- Page Pagina Ref. No 150 005 399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