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65.95 vom 31. Mai 2001</w:t>
      </w:r>
    </w:p>
    <w:p>
      <w:r>
        <w:t>Bundesverwaltung, 2001-05-31, DE</w:t>
      </w:r>
    </w:p>
    <w:p>
      <w:r>
        <w:rPr>
          <w:b/>
        </w:rPr>
        <w:t xml:space="preserve">Quelle: </w:t>
      </w:r>
      <w:r>
        <w:t>https://mcp.opencaselaw.ch/entscheid/ch_vb_JAAC_65.95__</w:t>
      </w:r>
    </w:p>
    <w:p>
      <w:r>
        <w:t>FR: CH_VB JAAC 65.95 du 31 mai 2001</w:t>
      </w:r>
    </w:p>
    <w:p>
      <w:r>
        <w:t>IT: CH_VB JAAC 65.95 del 31 maggio 2001</w:t>
      </w:r>
    </w:p>
    <w:p>
      <w:pPr>
        <w:pStyle w:val="Heading2"/>
      </w:pPr>
      <w:r>
        <w:t>Erwägungen</w:t>
      </w:r>
    </w:p>
    <w:p>
      <w:r>
        <w:rPr>
          <w:b/>
        </w:rPr>
        <w:t>E. 1</w:t>
      </w:r>
    </w:p>
    <w:p>
      <w:r>
        <w:t>- Die angemessene Form der Erwähnung des beanstandeten Verhaltens ergibt sich aus einer Abwägung zwischen den schützenswerten Drittinteressen künftiger Arbeitgeber einerseits und der Pflicht der Dienststelle, das wirtschaftliche Fortkommen des Arbeitnehmers nicht über Gebühr zu erschweren, andererseits (E. 5b). Personale federale. Rettifica del certificato di lavoro. - Oggetto del certificato di lavoro sono le prestazioni e il comportamento dell’impiegato. In linea di principio, per comportamento si intende quello tenuto dall’impiegato durante il servizio (consid. 3a). - Il comportamento al di fuori del servizio - in particolare se porta allo scioglimento del rapporto di lavoro e contribuisce a descrivere meglio l’immagine generale dell’impiegato - può essere menzionato nel certificato di lavoro. Questo presuppone però che tale comportamento sia a giusta ragione oggetto dell’interesse del datore di lavoro in virtù di un dovere di lealtà più elevato (consid. 3b, 3c e 3d). - La forma appropriata della menzione del comportamento criticato risulta da una ponderazione fra gli interessi degni di protezione di terzi potenziali futuri datori di lavoro da una parte e il dovere dell’autorità di non rendere eccessivamente difficile l’avvenire economico dell’impiegato dall’altra parte (consid. 5b). X war bis zum 31. Dezember 2000 bei der Bundesverwaltung im Beamtenverhältnis angestellt. Mit Verfügung vom 22. September 2000 wurde ihm die Nichtwiederwahl für die Amtsdauer 2001 bis 2004 eröffnet. Das von der vorgesetzten Behörde ausgestellte Arbeitszeugnis enthielt folgenden Absatz: «Das Dienstverhältnis mit Herrn X wurde durch die [vorgesetzte Dienststelle] per 31. Dezember 2000 aufgelöst, da das Vertrauensverhältnis wegen wiederholter rassistischer Äusserungen im Internet erheblich gestört war.» X teilte der vorgesetzten Dienststelle mit, er könne den in Frage stehenden Absatz des Zeugnisses nicht hinnehmen. Er ersuche um Ausstellung eines neuen Arbeitszeugnisses, aus dem eindeutig hervorgehe, dass die Nichtwiederwahl aus mit der Amtsführung in keinerlei Zusammenhang stehenden politischen Gründen erfolgt sei. Nachdem keine Einigung erzielt werden konnte, erhob X mit Eingabe vom 6. April 2001 Beschwerde bei der Eidgenössischen Personalrekurskommission (PRK) und beantragte, die Verfügung der vorgesetzten Dienststelle sei aufzuheben. Aus den Erwägungen: 2.b.aa. Der Anspruch auf ein Arbeitszeugnis steht im Zusammenhang mit der Fürsorgepflicht des Arbeitgebers. Das Zeugnis hat grundsätzlich das Fortkommen des Arbeitnehmers zu fördern, sollte also wohlwollend formuliert werden, doch findet das Wohlwollen eine Grenze an der</w:t>
      </w:r>
    </w:p>
    <w:p>
      <w:r>
        <w:rPr>
          <w:b/>
        </w:rPr>
        <w:t>E. 2</w:t>
      </w:r>
    </w:p>
    <w:p>
      <w:r>
        <w:t>Wahrheitspflicht. Der Anspruch des Arbeitnehmers geht nicht auf ein gutes, sondern ein objektiv wahres Zeugnis (Manfred Rehbinder, Berner Kommentar, Bern 1995, Art. 330a N. 14). So dürfen im Vollzeugnis auch negative Dinge stehen, wenn sie wahr und für das Zeugnis relevant sind (Susanne Janssen, Die Zeugnispflicht des Arbeitgebers, Bern 1996, S. 75). Kleinliche Korrekturwünsche an einem an sich zutreffenden Zeugnis werden vom Richter zurückgewiesen; der Arbeitnehmer hat grundsätzlich keinen Anspruch darauf, dass der Arbeitgeber bestimmte Formulierungen wählt (vgl. Ullin Streiff / Adrian von Kaenel, Leitfaden zum Arbeitsvertragsrecht,</w:t>
      </w:r>
    </w:p>
    <w:p>
      <w:r>
        <w:rPr>
          <w:b/>
        </w:rPr>
        <w:t>E. 5</w:t>
      </w:r>
    </w:p>
    <w:p>
      <w:r>
        <w:t>Steht aufgrund der vorherigen Erwägungen fest, dass die vorgesetzte Dienststelle grundsätzlich berechtigt war, die Gründe für die Nichtwiederwahl im Arbeitszeugnis zu nennen, stellt sich die Frage, ob die konkrete Formulierung des Schlussabschnitts, wonach «das Vertrauensverhältnis wegen wiederholter, ausserdienstlicher rassistischer Äusserungen im Internet erheblich gestört war», rechtlicher Prüfung standhält. a. Der Beschwerdeführer beantragt im Wesentlichen, es sei festzuhalten, dass er wegen ausserdienstlicher politischer Äusserungen im Internet ohne Zusammenhang mit dem [...]dienst für die Amtsdauer 2001 - 2004 nicht wiedergewählt und per 31. Dezember 2000 aus dem Bundesdienst entlassen worden sei. b. Um die angemessene Form der Erwähnung des Grundes für die Beendigung des Dienstverhältnisses zu ermitteln, ist abzuwägen zwischen der Fürsorgepflicht der vorgesetzten Dienststelle einerseits, wonach diese das wirtschaftliche Fortkommen des Bediensteten nicht erschweren darf, und der Wahrheitspflicht andererseits. Dabei ist zu beachten, dass die Äusserung der Wahrheit nicht der Genugtuung der Dienststelle, sondern den allfälligen Interessen zukünftiger Arbeitgeber dienen soll. Diesen Drittinteressen ist hinreichend Rechnung getragen, wenn die oben (E. 5a hiervor) verwendete Formulierung zum Zeugnistext erhoben wird. Dadurch wird auch kein schwerwiegender Mangel des Arbeitnehmers verschwiegen; ebensowenig entsteht ein täuschender Gesamteindruck (vgl. Janssen, a.a.O., S. 120). Wer die Schlusspassage in der erwähnten Formulierung liest, ist ohne Weiteres in der Lage, daraus den Schluss zu ziehen, dass die in Frage stehenden Äusserungen, gerade weil darauf hingewiesen wird, dass kein Zusammenhang mit dem [...]dienst besteht, dem Inhalt und/oder der Form nach sehr fragwürdig gewesen sein müssen, da sie gleichwohl zur Beendigung des Dienstverhältnisses geführt haben. Demgegenüber hält die Formulierung der vorgesetzten Dienststelle dieser Interessenabwägung nicht Stand. Vielmehr schadet sie - selbst unter der Annahme, die Qualifikation der Äusserungen als «rassistisch» sei zutreffend - dem Betroffenen über Gebühr und ohne dass dies zur Wahrung schützenswerter Drittinteressen notwendig wäre. Damit erweist sich die Beschwerde insofern als begründet. Die vorgesetzte Dienststelle hat demnach die in E. 5a erwähnte Formulierung zu übernehmen und dem Schlussabschnitt des Arbeitszeugnisses zugrunde zu legen. Nach dem Gesagten kann offen bleiben, ob die vorgesetzte Dienststelle die Äusserungen des Beschwerdeführers ohne vorherige strafrechtliche Verurteilung als «rassistisch» bezeichnen durfte, obwohl dieser zwar zugegeben hatte, die in Frage stehenden Äusserungen getan zu haben, sich aber gegen deren Bezeichnung als «rassistisch» gewehrt hatte.</w:t>
      </w:r>
    </w:p>
    <w:p>
      <w:r>
        <w:rPr>
          <w:b/>
        </w:rPr>
        <w:t>E. 6</w:t>
      </w:r>
    </w:p>
    <w:p>
      <w:r>
        <w:t>Informations générales sur la Commission fédérale de recours en matière de personnel fédéral</w:t>
      </w:r>
    </w:p>
    <w:p>
      <w:r>
        <w:rPr>
          <w:b/>
        </w:rPr>
        <w:t>E. 7</w:t>
      </w:r>
    </w:p>
    <w:p>
      <w:r>
        <w:t>Schweizerisches Bundesarchiv, Digitale Amtsdruckschriften Archives fédérales suisses, Publications officielles numérisées Archivio federale svizzero, Pubblicazioni ufficiali digitali JAAC 65.95 - Entscheid des Präsidenten der Eidgenössischen Personalrekurskommission vom 31. Mai 2001 i.S. X [PRK 2001-016] In Verwaltungspraxis der Bundesbehörden Dans Jurisprudence des autorités administratives de la Confédération In Giurisprudenza delle autorità amministrative della Confederazione Jahr 2001 Année Anno Band 65 Volume Volume Seite --- Page Pagina Ref. No 150 005 357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