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65.87 vom 27. November 2000</w:t>
      </w:r>
    </w:p>
    <w:p>
      <w:r>
        <w:t>Bundesverwaltung, 2000-11-27, DE</w:t>
      </w:r>
    </w:p>
    <w:p>
      <w:r>
        <w:rPr>
          <w:b/>
        </w:rPr>
        <w:t xml:space="preserve">Quelle: </w:t>
      </w:r>
      <w:r>
        <w:t>https://mcp.opencaselaw.ch/entscheid/ch_vb_JAAC_65.87__</w:t>
      </w:r>
    </w:p>
    <w:p>
      <w:r>
        <w:t>FR: CH_VB JAAC 65.87 du 27 novembre 2000</w:t>
      </w:r>
    </w:p>
    <w:p>
      <w:r>
        <w:t>IT: CH_VB JAAC 65.87 del 27 novembre 2000</w:t>
      </w:r>
    </w:p>
    <w:p>
      <w:pPr>
        <w:pStyle w:val="Heading2"/>
      </w:pPr>
      <w:r>
        <w:t>Erwägungen</w:t>
      </w:r>
    </w:p>
    <w:p>
      <w:r>
        <w:rPr>
          <w:b/>
        </w:rPr>
        <w:t>E. 1</w:t>
      </w:r>
    </w:p>
    <w:p>
      <w:r>
        <w:t>Art. 32 al. 3 et 4 LCR. Art. 108 al. 2 let. d et al. 4 OSR. Abaissement des limitations de vitesse décidé par le canton afin de réduire les atteintes excessives à l’environnement. Application de l’art. 108 OSR révisé dans la procédure en cours. Respect du principe de la proportionnalité. Limitation de la mesure aux heures de pointe. - En l’espèce, les modifications législatives intervenues au cours de la procédure de recours devant le Conseil fédéral doivent être prises en considération, car il s’agit de défendre l’important intérêt public à une protection de l’environnement plus efficace. La révision de l’ordonnance décidée par le Conseil fédéral parallèlement à une procédure de recours pendante devant lui ne viole ni les règles de la bonne foi ni le principe de la séparation des pouvoirs (consid. IV/4b). - Le canton a procédé à l’élucidation des faits formellement nécessaire pour pouvoir baisser les vitesses maximales (art. 32 al. 4 LCR; consid. IV/6a). - Le principe de la proportionnalité est respecté s’il existe un rapport raisonnable entre le but visé par la limite de vitesse et les restrictions imposées aux automobilistes (qui consisteront essentiellement en des durées de trajet plus longues; consid. IV/6e). - En l’espèce, une limitation de vitesse limitée dans le temps semble proportionnée dans un cas, pour autant que que le canton prévoie des mesures qui - dans les cas particuliers - permettent une adaptation rapide et souple à la densité du trafic (consid. IV/6f). Art. 32 cpvv. 3 e 4 LCStr. Art. 108 cpv. 2 lett. d e cpv. 4 OSStr. Limiti di velocità più bassi decisi a livello cantonale per ridurre gli effetti negativi eccessivi sull’ambiente. Applicazione del nuovo art. 108 OSStr nella procedura in corso. Rispetto del principio della proporzionalità. Limitazione alle ore di maggiore traffico. - Nella fattispecie, occorre tenere conto delle modifiche legislative entrate in vigore nel corso della procedura di ricorso pendente davanti al Consiglio federale, poiché si tratta di difendere l’importante interesse pubblico ad una protezione più efficace dell’ambiente. La modifica dell’ordinanza da parte del Consiglio federale, avvenuta parallelamente alla procedura ricorsuale pendente al suo cospetto, non costituisce una violazione del principio della buona fede o della separazione dei poteri (consid. IV/4b). - Gli accertamenti formali necessari per l’emanazione di limiti di velocità più bassi (art. 32 cpv. 4 LCStr) sono stati effettuati dal cantone (consid. IV/6a). - Il principio della proporzionalità è rispettato, se vi è una relazione accettabile fra lo scopo perseguito attraverso la riduzione della velocità e le restrizioni imposte agli automobilisti (restrizioni che consisteranno essenzialmente in un tempo di percorrenza un po’più lungo) (consid. IV/6e).</w:t>
      </w:r>
    </w:p>
    <w:p>
      <w:r>
        <w:rPr>
          <w:b/>
        </w:rPr>
        <w:t>E. 2</w:t>
      </w:r>
    </w:p>
    <w:p>
      <w:r>
        <w:t>- Nella fattispecie una limitazione di velocità per un tempo determinato è da considerare proporzionale in un caso, a condizione che il cantone disponga misure che rendano possibile un adattamento rapido e flessibile alla situazione del traffico (consid. IV/6 f). I A. Mit Entscheid vom 9. August 1995 hiess der Regierungsrat des Kantons Bern Einsprachen u. a. der heutigen Beschwerdeführer gegen seine Beschlüsse vom 10. März und 16. Juni 1993 teilweise gut und hob auf zwei Abschnitten der Autobahn N 1 (heute A 1) die Höchstgeschwindigkeit von 80 km/h auf wiederum 100 km/h an (Ziff. 1). Im Übrigen bestätigte der Regierungsrat die verfügten Geschwindigkeitsbeschränkungen von 80 statt 100 km/h auf folgenden Autobahnteilstrecken (Ziff. 2): - N 1 (heute A 1): Fischrain-Wankdorf-Felsenauviadukt-Bremgartenwald-Anschluss Bern/Bethlehem in beiden Richtungen; - N 6 (heute A 6): Wankdorf-Bern/Ostring-Anschluss Muri in beiden Richtungen; - N 12 (heute A 12): Verzweigung Weyermannshaus-Anschluss Bern/Bümpliz in beiden Richtungen; - Autobahnzubringer N 6 (heute A 6): Verzweigung Worb/Rüfenacht (Anschluss T 10, heute H 10). Schliesslich trat der Regierungsrat auf die Einsprachen des Zentralverbandes des Touring Club Schweiz (TCS) und des TCS Sektion Bern mangels Einsprachebefugnis nicht ein (Ziff. 3). B. Am 14. September 1995 reichten die Beschwerdeführer beim Schweizerischen Bundesrat Verwaltungsbeschwerde ein. D. Auf den 1. Juni 1998 wurde mit Art. 108 Abs. 2 Bst. d und Abs. 4 der Verordnung vom 5. September 1979 über die Strassensignalisation (SSV, SR 741.21) eine im vorliegenden Verfahren massgebliche Rechtsgrundlage geändert. In der Folge hat das Eidgenössische Finanzdepartement (EFD) bei Beschwerdeführern, Vorinstanz und mitbeteiligten Ämtern ergänzende</w:t>
      </w:r>
    </w:p>
    <w:p>
      <w:r>
        <w:rPr>
          <w:b/>
        </w:rPr>
        <w:t>E. 3</w:t>
      </w:r>
    </w:p>
    <w:p>
      <w:r>
        <w:t>Stellungnahmen zur Anwendbarkeit und Auswirkung des geänderten Rechts eingeholt. Die Beschwerdeführer sprachen sich gegen, die übrigen Beteiligten für eine Anwendung des neuen Rechts auf den vorliegenden Fall aus.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