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65.76 vom 17. November 2000</w:t>
      </w:r>
    </w:p>
    <w:p>
      <w:r>
        <w:t>Bundesverwaltung, 2000-11-17, DE</w:t>
      </w:r>
    </w:p>
    <w:p>
      <w:r>
        <w:rPr>
          <w:b/>
        </w:rPr>
        <w:t xml:space="preserve">Quelle: </w:t>
      </w:r>
      <w:r>
        <w:t>https://mcp.opencaselaw.ch/entscheid/ch_vb_JAAC_65.76__</w:t>
      </w:r>
    </w:p>
    <w:p>
      <w:r>
        <w:t>FR: CH_VB JAAC 65.76 du 17 novembre 2000</w:t>
      </w:r>
    </w:p>
    <w:p>
      <w:r>
        <w:t>IT: CH_VB JAAC 65.76 del 17 novembre 2000</w:t>
      </w:r>
    </w:p>
    <w:p>
      <w:pPr>
        <w:pStyle w:val="Heading2"/>
      </w:pPr>
      <w:r>
        <w:t>Erwägungen</w:t>
      </w:r>
    </w:p>
    <w:p>
      <w:r>
        <w:rPr>
          <w:b/>
        </w:rPr>
        <w:t>E. 1</w:t>
      </w:r>
    </w:p>
    <w:p>
      <w:r>
        <w:t>Mit Verfügung vom 17. November 2000 wies das Bundesamt für Flüchtlinge (BFF) das Asylgesuch des Beschwerdeführers vom 16. Oktober 2000 ab und ordnete gleichzeitig dessen Wegweisung aus der Schweiz an. Mit Eingabe vom 31. Dezember 2000 (Poststempel vom 3. Januar 2001) erhob der Beschwerdeführer gegen den Entscheid des BFF Beschwerde. Am 4. Januar 2000 holte die Schweizerische Asylrekurskommission (ARK) bei der Poststelle am Wohnort des Beschwerdeführers Auskunft über die Modalitäten der Zustellung der angefochtenen Verfügung ein. Mit Zwischenverfügung vom 15. Januar 2001 wurde dem Beschwerdeführer Gelegenheit geboten, innert Frist zur Frage der Rechtzeitigkeit der eingereichten Beschwerde Stellung zu nehmen. Der Beschwerdeführer reichte daraufhin am 23. Januar 2001 eine Stellungnahme ein. Die ARK tritt auf die Beschwerde nicht ein. Aus den Erwägungen:</w:t>
      </w:r>
    </w:p>
    <w:p>
      <w:r>
        <w:rPr>
          <w:b/>
        </w:rPr>
        <w:t>E. 2</w:t>
      </w:r>
    </w:p>
    <w:p>
      <w:r>
        <w:t>Postsendung nun aufgrund eines formellen Zurückbehaltungsauftrages oder aus anderen Gründen - beispielsweise aufgrund einer anderen individuellen Absprache oder aufgrund allgemeiner Kundenfreundlichkeit - erst nach Ablauf der Abholfrist ausgehändigt wurde. Anzumerken ist im Übrigen, dass das Bundesgericht auch weiterhin auf die siebentägige Abholfrist abstellt (vgl. Entscheid des Bundesgerichtes vom 30. August 2000 [Urteil 1P.264/2000, E. 2a mit Verweis], publiziert in: Die Praxis [Pra] 2001 Nr. 21), auch wenn diese Frist heute nur mehr als Grundsatz (von dem abweichende Abmachungen zulässig sind) in den Allgemeinen Geschäftsbedingungen der Post vorgesehen und nicht mehr in einer Verordnung festgeschrieben ist.</w:t>
      </w:r>
    </w:p>
    <w:p>
      <w:r>
        <w:rPr>
          <w:b/>
        </w:rPr>
        <w:t>E. 3</w:t>
      </w:r>
    </w:p>
    <w:p>
      <w:r>
        <w:t>Eingabe rechtzeitig wäre. Nachdem jedoch Art. 12 Abs. 1 AsylG bestimmt, dass für die Berechnung die siebentägige Abholfrist massgeblich ist, endete die Beschwerdefrist bereits am 27. Dezember 2000, weshalb auf die vorliegende Eingabe wegen Verspätung nicht einzutreten ist (vgl. Art. 50 VwVG in Verbindung mit Art. 20 und 21 VwVG sowie Art. 12 Abs. 1 und Art. 17 Abs. 1 AsylG). b. Betreffend die Anwendung der Zustellfiktion gemäss Art. 12 Abs. 1 AsylG ist Folgendes festzuhalten: Erscheint wie vorliegend (die Entgegennahme der angefochtenen Verfügung erfolgte 13 Tage nach Postaufgabe) aufgrund der Akten als offen, ob bei der Berechnung der Beschwerdefrist statt auf den Zeitpunkt der Entgegennahme der angefochtenen Verfügung gemäss Rückschein auf das Ende der siebentägigen Abholfrist abzustellen ist, sind die Angaben aus dem Zustellbuch (oder dem Zustellbogen, falls die Post die eingeschriebene Sendungen auf elektronischem Weg erfasst hat) heranzuziehen. Aus dem Eintrag im Zustellbuch geht mit Bestimmtheit der Zeitpunkt hervor, an welchem eine eingeschriebene Postsendung bei der zuständigen Poststelle zur Abholung bereit gestellt wurde. Dass beim Adressaten Kenntnis über diesen Zeitpunkt besteht beziehungsweise dass er sich ohne weiteres Kenntnis darüber verschaffen kann, darf vorausgesetzt werden, da er bereits anlässlich der Entgegennahme der eingeschriebenen Postsendung (anlässlich der Quittierung der Entgegennahme durch seine Unterschrift) Einsicht ins Zustellbuch erhält. Im Übrigen steht es ihm frei, auch später noch Einsicht in den ihn betreffenden Eintrag im Zustellbuch zu nehmen. c. Im vorliegenden Fall ist davon auszugehen, dass die Sendung erst nach Ablauf der von der Post gesetzten Frist abgeholt wurde. Weder wurde geltend gemacht noch ergeben sich Anhaltspunkte, dass die Post eine längere Frist als die ordentlichen 7 Tage setzte (der Beschwerdeführer hätte dies allenfalls mit dem Abholschein oder dem Zustellkuvert belegen müssen; diese hat er nicht eingereicht). Es ist somit davon auszugehen, dass die gesetzte Abholfrist entsprechend dem Eintrag im Zustellbuch 7 Tage nach dem Zustellversuch, somit der 27. November 2000 war. Dem Beschwerdeführer war also bekannt, dass er die Sendung in einem Zeitpunkt abholte, als die Abholfrist an sich bereits abgelaufen war. Ob es sich anders verhielte, wenn für den Beschwerdeführer - etwa weil der Postbeamte die Abholfrist falsch berechnete oder aus «Entgegenkommen» eine längere Frist einsetzte - der bereits erfolgte Ablauf der ordentlichen Frist nicht erkennbar gewesen wäre, d. h. ob in einem solchen Fall nach dem Grundsatz von Treu und Glauben auf das effektive Datum der Aushändigung abzustellen wäre, kann vorliegend offenbleiben. Immerhin sei hierzu auf E. 3b.bb des oben erwähnten Bundesgerichtsentscheides vom 30. August 2000 (Pra 2001 Nr. 21) verwiesen, wonach der Vertrauensschutz allenfalls zum Zuge käme, wenn das Auseinanderklaffen zwischen den Daten der Zustellfiktion und der Abholfrist nicht erkennbar ist. Dies wird nur ausnahmsweise der Fall sein;</w:t>
      </w:r>
    </w:p>
    <w:p>
      <w:r>
        <w:rPr>
          <w:b/>
        </w:rPr>
        <w:t>E. 4</w:t>
      </w:r>
    </w:p>
    <w:p>
      <w:r>
        <w:t>im beurteilten Fall hat das Bundesgericht das Auseinanderklaffen bereits dann bejaht, wenn auf der Abholungseinladung der Beginn der Abholfrist ersichtlich war. d. Auch nicht ansatzweise zu überzeugen vermögen die Ausführungen des Rechtsvertreters des Beschwerdeführers, wonach der Zeitpunkt der Entgegennahme nicht aus dem Rückschein hervorgehe und er als Rechtsvertreter in einem solchen Fall - sinngemäss dann, wenn Unsicherheiten betreffend die Modalitäten der Zustellung einer Postsendung bestehen - berechtigt sei, alleine auf die Angaben seines Mandanten abzustellen, da es ihm nicht zuzumuten sei, sich bei der zuständigen Poststelle um Auskunft zu bemühen. Aus oben stehenden Erwägungen folgt, dass beim Adressaten Kenntnis über die Modalitäten der Zustellung vorausgesetzt werden kann, zumal er anlässlich der Entgegennahme der angefochtenen Verfügung auch Einsicht ins Zustellbuch erhalten hat. Diese Kenntnis muss er sich zurechnen lassen, unbesehen davon, ob er sich nach Erhalt der Verfügung vertreten lässt oder nicht. Ob ein Rechtsvertreter gewillt ist, im Falle von Unklarheiten einen mindesten Aufwand auf sich zu nehmen und sich bei der zuständigen Poststelle betreffend die Modalitäten der Zustellung zu erkundigen, ist alleine eine Sache des Innenverhältnisses zwischen dem Rechtsvertreter und seinem Mandanten. An dieser Stelle kann im Übrigen angemerkt werden, dass sich - entgegen den anders lautenden Ausführungen des Rechtsvertreters - auch dem Rückschein ohne weiteres entnehmen lässt, dass zwischen Versand der angefochtenen Verfügung und der Entgegennahme volle 13 Tage liegen. Auf dem Rückschein ist neben dem Zeitpunkt der Aufgabe (Vorderseite) auch der Zeitpunkt der Entgegennahme festgehalten (Rückseite); dieses Datum ergibt sich ohne weiteres aus der gleich neben der Unterschrift des Beschwerdeführers stehenden Gegenquittung der zuständigen Poststelle (Poststempel und Unterschrift). Alleine daraus, dass sich sein Rechtsvertreter trotz der zeitlichen Diskrepanz zwischen Versand der angefochtenen Verfügung und der Entgegennahme und offenbar zusätzlich bestehender Unsicherheiten nicht veranlasst sah, sich betreffend die Modalitäten der Zustellung näher zu erkundigen, kann der Beschwerdeführer nichts für sich ableiten. e. Zusammenfassend ergibt sich somit, dass auf die Eingabe vom 31. Dezember 2000 wegen Verspätung nicht einzutreten ist. Homepage der Schweizerischen Asylrekurskommission</w:t>
      </w:r>
    </w:p>
    <w:p>
      <w:r>
        <w:rPr>
          <w:b/>
        </w:rPr>
        <w:t>E. 5</w:t>
      </w:r>
    </w:p>
    <w:p>
      <w:r>
        <w:t>Schweizerisches Bundesarchiv, Digitale Amtsdruckschriften Archives fédérales suisses, Publications officielles numérisées Archivio federale svizzero, Pubblicazioni ufficiali digitali JAAC 65.76 - Auszug aus dem Urteil der Schweizerischen Asylrekurskommission vom 27. Februar 2001 i.S. M.D., Mali, auch erschienen in Entscheidungen und Mitteilungen der Schweizerischen Asylrekurskommission [EMARK] 2001 Nr. 9 In Verwaltungspraxis der Bundesbehörden Dans Jurisprudence des autorités administratives de la Confédération In Giurisprudenza delle autorità amministrative della Confederazione Jahr 2001 Année Anno Band 65 Volume Volume Seite --- Page Pagina Ref. No 150 005 294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