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65.51 vom 16. Oktober 2000</w:t>
      </w:r>
    </w:p>
    <w:p>
      <w:r>
        <w:t>Bundesverwaltung, 2000-10-16, DE</w:t>
      </w:r>
    </w:p>
    <w:p>
      <w:r>
        <w:rPr>
          <w:b/>
        </w:rPr>
        <w:t xml:space="preserve">Quelle: </w:t>
      </w:r>
      <w:r>
        <w:t>https://mcp.opencaselaw.ch/entscheid/ch_vb_JAAC_65.51__</w:t>
      </w:r>
    </w:p>
    <w:p>
      <w:r>
        <w:t>FR: CH_VB JAAC 65.51 du 16 octobre 2000</w:t>
      </w:r>
    </w:p>
    <w:p>
      <w:r>
        <w:t>IT: CH_VB JAAC 65.51 del 16 ottobre 2000</w:t>
      </w:r>
    </w:p>
    <w:p>
      <w:pPr>
        <w:pStyle w:val="Heading2"/>
      </w:pPr>
      <w:r>
        <w:t>Erwägungen</w:t>
      </w:r>
    </w:p>
    <w:p>
      <w:r>
        <w:rPr>
          <w:b/>
        </w:rPr>
        <w:t>E. 1</w:t>
      </w:r>
    </w:p>
    <w:p>
      <w:r>
        <w:t>(…) Il n’est pas douteux que les noms et prénoms constituent des données personnelles au sens de l’art. 3 let. a de la Loi fédérale sur la protection des données du 19 juin 1992 (LPD, RS 235.1). Or, les droits des</w:t>
      </w:r>
    </w:p>
    <w:p>
      <w:r>
        <w:rPr>
          <w:b/>
        </w:rPr>
        <w:t>E. 2</w:t>
      </w:r>
    </w:p>
    <w:p>
      <w:r>
        <w:t>Quant à la recevabilité du recours, on observera déjà qu’il est bel et bien dirigé contre une décision au sens de l’art. 44 PA qui n’est pas visée par l’art. 46 PA. On relèvera quant à la qualité pour recourir, que l’art. 48 let. a PA la reconnaît au bénéfice de «quiconque est touché par la décision et a un intérêt digne de protection à ce que la décision soit annulée ou modifiée». Aussi la qualité pour agir existe-t-elle au bénéfice de celui qui dispose d’un intérêt de fait ou de droit, personnel et direct à ce que la décision qui l’affecte soit annulée ou modifiée (cf. Knapp, Précis de droit administratif, p. 407, n° 1956; Grisel, Traité de droit administratif, tome II, p. 899; Moor, Droit administratif, tome II, p. 412 ss). En l’espèce, la décision attaquée concerne le fils mineur du recourant, que celui-ci représente. Le recourant a par conséquent un intérêt personnel et direct à faire valoir contre la décision attaquée, de telle sorte que sa qualité pour agir existe bel et bien. Le recours est par conséquent recevable.</w:t>
      </w:r>
    </w:p>
    <w:p>
      <w:r>
        <w:rPr>
          <w:b/>
        </w:rPr>
        <w:t>E. 3</w:t>
      </w:r>
    </w:p>
    <w:p>
      <w:r>
        <w:t>(…) b. Ces directives s’accompagnent d’annexes qui posent certaines définitions et apportent certaines précisions sur la façon d’enregistrer les noms des ressortissants de différents pays. Ainsi, l’annexe 1 des directives précitées pose notamment les définitions suivantes: (…) c. La CFPD constate que l’annexe 3 des directives du DFJP ne comporte aucune précision quant à l’enregistrement des noms des ressortissants du Rwanda. Elle observe par ailleurs que lesdites directives ne traitent pas, de façon générale, du droit à la rectification des inscriptions, lequel est régi par la LPD.</w:t>
      </w:r>
    </w:p>
    <w:p>
      <w:r>
        <w:rPr>
          <w:b/>
        </w:rPr>
        <w:t>E. 4</w:t>
      </w:r>
    </w:p>
    <w:p>
      <w:r>
        <w:t>«dans la mesure où l’accomplissement de leur mandat l’exige, l’office, les autorités de recours et les organisations privées chargées de tâches en vertu de la présente loi peuvent traiter ou faire traiter des données personnelles relatives à un requérant ou à une personne à protéger et à leurs proches (…)»; alors que, comme registres publics au sens de l’art. 9 al. 1 du code civil suisse du 10 décembre 1907 (CC, RS 210), les registres d’état civil font foi des faits qu’ils constatent et dont l’inexactitude n’est pas prouvée, les fichiers de l’administration fédérale ne jouissent pas de la foi publique. Cependant, ce qui, en matière de rectification, vaut pour un registre qui jouit de la foi publique devrait valoir à plus forte raison mutatis mutandis pour un fichier qui n’en jouit pas. Selon l’art. 41 al. 1 CC (introduit par le ch. I 1 de la Loi fédérale du 26 juin 1998, en vigueur depuis le 1.1.2000, RO 1999 1118 et 1142, FF 1996 I 1), relatif à la preuve de données non litigieuses,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Il s’ensuit que si l’inscription de données qui ne sont pas litigieuses peut être opérée dans un registre public sur la foi des déclarations de la personne concernée, une telle inscription devrait pouvoir a fortiori être portée dans un fichier de l’administration, lorsque la preuve par document n’est pas exigée et dans la mesure où l’intérêt public dont la réalisation incombe au maître du fichier ne s’y oppose pas. On relèvera à cet égard que l’art. 7 LAsi concernant la preuve de la qualité de réfugié n’exige pas la preuve par document, puisqu’il dispose: «1Quiconque demande l’asile (requérant) doit prouver ou du moins rendre vraisemblable qu’il est un réfugié. (…) 3Ne sont pas vraisemblables notamment les allégations qui, sur des points essentiels, ne sont pas suffisamment fondées, qui sont contradictoires, qui ne correspondent pas aux faits ou qui reposent de manière déterminante sur des moyens de preuve faux ou falsifiés.» Cependant, ce qui vaut pour l’inscription de données ne vaut pas nécessairement pour leur rectification. A ce propos, l’art. 42 CC concernant les modifications d’une inscription prévoit que «toute personne qui justifie d’un intérêt personnel légitime peut demander au juge d’ordonner (…) la rectification (…) de données litigieuses relatives à l’état civil (…)». La CFPD observe ainsi que l’art. 42 CC comme l’art. 25 LPD subordonnent l’existence du droit à la rectification à la présence d’un intérêt légitime.</w:t>
      </w:r>
    </w:p>
    <w:p>
      <w:r>
        <w:rPr>
          <w:b/>
        </w:rPr>
        <w:t>E. 5</w:t>
      </w:r>
    </w:p>
    <w:p>
      <w:r>
        <w:t>puisque ce faisant, l’ODR ne tient pas compte de certaines déclarations effectuées par ses parents, d’une part, et surtout des pièces que ceux-ci ont produites concernant leur fils, d’autre part. a. Il doit être retenu que l’ODR a agi correctement en enregistrant le nom du fils du recourant sur la base des déclarations que sa mère a effectuées lors de son audition par le Centre d’enregistrement de l’ODR de Genève en date du 14 mai 1996, ainsi que sur la base des indications figurant dans le passeport de celle-ci, puisque l’ODR ne disposait alors d’aucun document concernant son fils en propre (cf. art. 3.2 des directives du DFJP). b. En revanche, c’est à tort que l’ODR a refusé de rectifier le nom du fils du recourant tel qu’il figure dans ses fichiers sur la base des explications et des pièces exposées et produites par le recourant et son épouse à l’appui de leur requête en rectification. En effet, alors que l’inscription du fils du recourant a été effectuée sur la base de documents ne le concernant pas en propre, la demande de rectification s’appuie notamment sur son acte de naissance, ainsi que sur son certificat de baptême. Les indications figurant dans ces documents étaient de surcroît corroborées par les déclarations de ses parents, ainsi que par les indications figurant dans la carte d’identité du recourant. c. Au demeurant, vu le contexte politique très troublé du Rwanda au moment où la requête en rectification a été déposée, on ne peut retenir que les requérants auraient dû obtenir la rectification dans leur passeport respectif des indications relatives à leur fils avant de demander la modification de l’inscription de son nom dans les fichiers de l’ODR. On relèvera à ce propos que l’art. 3.2 des directives du DFJP met à la charge de l’administration de procéder aux vérifications nécessaires; cette disposition prévoit en effet que: «Dans les cas douteux ou d’indications contradictoires, il convient de demander une confirmation à la représentation étrangère compétente en Suisse, pour autant qu’il ne s’agisse pas de requérants ou de réfugiés reconnus. Dans ces cas, l’Office fédéral des réfugiés effectue les vérifications nécessaires et procède, le cas échéant, aux rectifications requises.» Par conséquent, dès lors que le recourant disposait d’un intérêt légitime à l’obtention de cette rectification, l’ODR se devait d’y procéder. En l’occurrence, cet intérêt réside dans le fait que les fichiers de l’ODR tiennent lieu, pour les requérants d’asile, de registre d’état civil «provisoire», ce qui est attesté notamment par les ch. 4 et 5 des directives du DFJP. Les effets concrets desdits fichiers en terme de référence ne peuvent par conséquent être ignorés. Bien que cet intérêt n’ait pas été invoqué par le recourant, la CFPD est autorisée à en tenir compte en vertu de la maxime officielle. L’ODR ayant manifesté son refus d’effectuer les vérifications nécessaires et de procéder, le cas échéant, à la rectification requise, la Commission de céans, sur la base de ses propres vérifications et après instruction, estime fondé et opportun d’ordonner ladite rectification. L’ODR fera figurer le fils du recourant dans ses fichiers de la manière suivante: (prénoms) M. H.</w:t>
      </w:r>
    </w:p>
    <w:p>
      <w:r>
        <w:rPr>
          <w:b/>
        </w:rPr>
        <w:t>E. 6</w:t>
      </w:r>
    </w:p>
    <w:p>
      <w:r>
        <w:t>Schweizerisches Bundesarchiv, Digitale Amtsdruckschriften Archives fédérales suisses, Publications officielles numérisées Archivio federale svizzero, Pubblicazioni ufficiali digitali JAAC 65.51 - Jugement de la Commission fédérale de la protection des données du 16 octobre 2000 In Verwaltungspraxis der Bundesbehörden Dans Jurisprudence des autorités administratives de la Confédération In Giurisprudenza delle autorità amministrative della Confederazione Jahr 2001 Année Anno Band 65 Volume Volume Seite --- Page Pagina Ref. No 150 005 213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