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65.50 vom 7. April 2000</w:t>
      </w:r>
    </w:p>
    <w:p>
      <w:r>
        <w:t>Bundesverwaltung, 2000-04-07, DE</w:t>
      </w:r>
    </w:p>
    <w:p>
      <w:r>
        <w:rPr>
          <w:b/>
        </w:rPr>
        <w:t xml:space="preserve">Quelle: </w:t>
      </w:r>
      <w:r>
        <w:t>https://mcp.opencaselaw.ch/entscheid/ch_vb_JAAC_65.50__</w:t>
      </w:r>
    </w:p>
    <w:p>
      <w:r>
        <w:t>FR: CH_VB JAAC 65.50 du 7 avril 2000</w:t>
      </w:r>
    </w:p>
    <w:p>
      <w:r>
        <w:t>IT: CH_VB JAAC 65.50 del 7 aprile 2000</w:t>
      </w:r>
    </w:p>
    <w:p>
      <w:pPr>
        <w:pStyle w:val="Heading2"/>
      </w:pPr>
      <w:r>
        <w:t>Erwägungen</w:t>
      </w:r>
    </w:p>
    <w:p>
      <w:r>
        <w:rPr>
          <w:b/>
        </w:rPr>
        <w:t>E. 1</w:t>
      </w:r>
    </w:p>
    <w:p>
      <w:r>
        <w:t>Anfechtungsobjekt des vorliegenden Beschwerdeverfahrens ist das Schreiben des Bundesamts für Flüchtlinge (BFF) vom 21. Mai 1999. In diesem wird dem Anwalt der Beschwerdeführer mitgeteilt, dass ihm die Akten der Beschwerdeführer gemäss im Schreiben enthaltener Spezifikation in Kopie zugestellt würden und für die Einsichtsgewährung eine Kostenbeteiligung von Fr. 200.- erhoben werde. Gemäss der vom Beschwerdegegner nicht bestrittenen Darstellung der Beschwerdeführer wurde dieses Schreiben ihrem Anwalt als Begleitschreiben zusammen mit den Aktenkopien mittels Postsendung per Nachnahme zugesandt. Nach dessen Zahlungsverweigerung wurde die Sendung automatisch retourniert. Der Anwalt der Beschwerdeführer nahm daraufhin vom Inhalt des genannten Schreibens erst Kenntnis, als ihm dieses am 19. August 1999 nochmals zugesandt wurde. Gemäss unwidersprochener Darstellung erfolgte die Zustellung am 23. August 1999. Mit Postaufgabe der Beschwerde am 22. September 1999 ist die Beschwerdefrist von 30 Tagen somit eingehalten.</w:t>
      </w:r>
    </w:p>
    <w:p>
      <w:r>
        <w:rPr>
          <w:b/>
        </w:rPr>
        <w:t>E. 2</w:t>
      </w:r>
    </w:p>
    <w:p>
      <w:r>
        <w:t>anderem über Nichteintreten, Abweisung und Gutheissung von Rechtsmitteln oder Klagen, wenn es sich um vermögensrechtliche Ansprüche mit einem Streitwert unter Fr. 5000.- handelt; der Streitwert bestimmt sich sinngemäss nach Art. 36 des BG vom 16. Dezember 1943 über die Organisation der Bundesrechtspflege (OG, SR 173.110). Laut dessen Abs. 1 wird der Wert des Streitgegenstandes durch das klägerische Rechtsbegehren bestimmt. Dieses lautet im vorliegenden Fall, die angefochtene Verfügung sei aufzuheben und die Vorinstanz anzuweisen, die verlangten Akten kostenlos (anstatt unter Erhebung einer Kostenbeteiligung von Fr. 200.-) zuzustellen, und es sei festzustellen, dass die Zusendung der Akten zusammen mit der kostenauferlegenden Verfügung per Nachnahme gegen Art. 2 Abs. 2 VDSG verstösst. Die Eventualanträge sind für die Bestimmung des Streitwertes unerheblich. Entgegen der Ansicht des Beschwerdegegners ist für die Bestimmung des Streitwertes nur das konkrete, im Einzelfall zu entscheidende Begehren des Klägers oder Beschwerdeführers massgebend. Darüber hinausgehende, durch eine grosse Anzahl gleich oder ähnlich gelagerter Fälle bedingte Interessen des Beschwerdegegners haben ausser Betracht zu bleiben. Anders verhielte es sich nur, wenn diese in einem konkreten Fall widerklageweise oder durch selbständige Rechtsbegehren zum unmittelbaren Streitgegenstand gemacht werden könnten. Solches ist in Beschwerdeverfahren von der Art des vorliegenden ausgeschlossen. Die Frage der Kostenpflichtigkeit der Auskunftserteilung kann und soll in der Regel Gegenstand einer gesondert anfechtbaren Verfügung bilden. Ist ein Bundesorgan der Ansicht, es sei berechtigt, eine Gebühr gemäss Art. 2 Abs. 1 und Art. 13 VDSG zu verlangen, kann die betroffene Person eine Verfügung verlangen, die gemäss Art. 25 DSG mit Beschwerde angefochten werden kann (vgl. Eidgenössischer Datenschutzbeauftragter, Kommentar zur VDSG in: Kommentar zum Schweizerischen Datenschutzgesetz, Basel 1995, S. 542 f.). Dies hat der Anwalt der Beschwerdeführer vorliegend mit seinem Schreiben vom 11. Mai 1999 in Beantwortung der Mitteilung des BFF vom 7. Mai 1999 getan. Das Schreiben des BFF, worin dem Anwalt der Beschwerdeführer mitgeteilt wird, dass an der Kostenbeteiligung von Fr. 200.- festgehalten wird, kann deshalb als anfechtbare Verfügung im Sinne von Art. 33 Abs. 1 Bst. b DSG qualifiziert werden, auch wenn gewisse Formelemente einer Verfügung wie insbesondere auch die Rechtsmittelbelehrung fehlen. Dies wurde denn auch vom Beschwerdegegner selbst nicht in Zweifel gezogen.</w:t>
      </w:r>
    </w:p>
    <w:p>
      <w:r>
        <w:rPr>
          <w:b/>
        </w:rPr>
        <w:t>E. 3</w:t>
      </w:r>
    </w:p>
    <w:p>
      <w:r>
        <w:t>(…)</w:t>
      </w:r>
    </w:p>
    <w:p>
      <w:r>
        <w:rPr>
          <w:b/>
        </w:rPr>
        <w:t>E. 4</w:t>
      </w:r>
    </w:p>
    <w:p>
      <w:r>
        <w:t>S. [bestätigt durch BGE 125 II 321 ff.], wo eine maximale Kostenbeteiligung von Fr. 200.- im konkreten Fall als angemessen erachtet wurde). Diese Ausführungen gelten unverändert auch im vorliegenden Verfahren. c. Auch die Gründe, die vom Beschwerdegegner im vorliegenden Verfahren für die Geltendmachung einer Kostenbeteiligung ins Feld geführt werden, entsprechen weitgehend denjenigen, welche im erwähnten Fall A.T. vorlagen. Im vorliegenden Fall macht der Beschwerdegegner hauptsächlich geltend, die besondere Schwierigkeit der Auskunftserteilung liege darin, dass die Dossiers in der Regel sehr komplex seien und neben den Asylverfahrensakten im engeren Sinne Unterdossiers oder Akten anderer Behörden wie zum Beispiel Polizeirapporte enthielten. Oft seien auch andere Personen erwähnt. Beim Auskunftsgesuch müsse das Dossier in seinem gesamten Umfang durchgesehen und geprüft werden, welche Aktenstücke Personendaten des Gesuchstellers (und nicht anderer Personen) enthielten und somit ediert werden müssten. Oft müssten Rückfragen getätigt werden; dann habe eine Kontrolle stattzufinden und schliesslich müssten die Akten kopiert und versandt werden. Dies ist insoweit zutreffend, als nach der Praxis der EDSK (vgl. insb. das Urteil vom 28. Februar 1997, VPB 62.55 E. 2) Akten, die Daten anderer Personen enthalten, von der Auskunftspflicht nicht ausgenommen sind, sondern gegebenenfalls teilweise anonymisiert oder abgedeckt werden müssen, was eine sorgfältige Prüfung im Einzelfall erfordert. Kopieren und Versand der Akten dagegen sind in jedem Fall von der Auskunftserteilung erforderlich und können von vornherein nur dann eine Kostenbeteiligung auslösen, wenn der Aktenumfang ausserordentlich gross ist. d. Im Einzelnen ist diesbezüglich festzuhalten, dass der Beschwerdegegner zwar Akten aus verschiedenen Beständen hat zusammentragen müssen. Den Beschwerdeführern kann nicht zugestimmt werden, wenn sie meinen, aufgrund der datenschutzrechtlichen Pflicht zur Auskunftserteilung sei jedes Bundesorgan verpflichtet, seine Akten, insbesondere Verfahrensakten, nach Verfahrensabschluss auch nach datenschutzrechtlichen Kriterien zu archivieren, wenn diese während der Dauer des Verfahrens nach anderen, verfahrensspezifischen Kriterien zu führen waren. Eine solche Pflicht kann weder aus dem DSG noch aus dem von den Beschwerdeführern zitierten BGE 123 II 534 und auch nicht aus dem BG vom 26. Juni 1998 über die Archivierung (BGA, SR 152.1) oder den zugehörigen Verordnungen und Weisungen abgeleitet werden. Alle in Frage kommenden Akten waren aber über die gleiche Aktennummer erschlossen und sofort abrufbar. Aktendurchsicht, Kopiervorgang und Versand können insgesamt als über dem reinen Routinefall liegender Aufwand eingestuft werden, der eine gewisse Kostenbeteiligung der Beschwerdeführer allenfalls zu rechtfertigen vermag. Indessen erscheint angesichts der effizienten Organisation der Aktenführung, des Routinecharakters und vor allem des konkreten Umfangs der Akten eine Ausschöpfung der Maximalgebühr zu 2/3 vorliegend kaum als angemessen. Es sind wesentlich umfangreichere und komplexere Datenbestände denkbar. Wenn - vergleichsweise - bei der grundsätzlich gebührenpflichtigen verfahrensrechtlichen Akteneinsicht in Anwendung</w:t>
      </w:r>
    </w:p>
    <w:p>
      <w:r>
        <w:rPr>
          <w:b/>
        </w:rPr>
        <w:t>E. 5</w:t>
      </w:r>
    </w:p>
    <w:p>
      <w:r>
        <w:t>der Art. 14 f. der V vom 10. September 1969 über Kosten und Entschädigungen im Verwaltungsverfahren (VwKV, SR 172.041.0) Gebühren für Fotokopien von 50 Rp. pro Seite, Fr. 15.- für die Akteneinsicht sowie allenfalls Fr. 30.- pro halbe Stunde für Nachforschungen (worum es hier nicht ging) in Akten einer erledigten Sache erhoben werden könnten, kann mit Blick auf die grundsätzliche Kostenlosigkeit des datenschutzrechtlichen Auskunftsrechts (vgl. oben Bst. b) hier eine Kostenbeteiligung von höchstens Fr. 100.- als im Sinne von Art. 2 VDSG angemessen betrachtet werden.</w:t>
      </w:r>
    </w:p>
    <w:p>
      <w:r>
        <w:rPr>
          <w:b/>
        </w:rPr>
        <w:t>E. 6</w:t>
      </w:r>
    </w:p>
    <w:p>
      <w:r>
        <w:t>Schweizerisches Bundesarchiv, Digitale Amtsdruckschriften Archives fédérales suisses, Publications officielles numérisées Archivio federale svizzero, Pubblicazioni ufficiali digitali JAAC 65.50 - Urteil des Präsidenten der Eidgenössischen Datenschutzkommission vom 7. April 2000 In Verwaltungspraxis der Bundesbehörden Dans Jurisprudence des autorités administratives de la Confédération In Giurisprudenza delle autorità amministrative della Confederazione Jahr 2001 Année Anno Band 65 Volume Volume Seite --- Page Pagina Ref. No 150 005 210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